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2.xml" ContentType="application/vnd.openxmlformats-officedocument.wordprocessingml.footer+xml"/>
  <Override PartName="/word/_rels/header2.xml.rels" ContentType="application/vnd.openxmlformats-package.relationships+xml"/>
  <Override PartName="/word/_rels/footer2.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_rels/document.xml.rels" ContentType="application/vnd.openxmlformats-package.relationships+xml"/>
  <Override PartName="/word/header2.xml" ContentType="application/vnd.openxmlformats-officedocument.wordprocessingml.header+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28 мая 2018 г. N 51199</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both"/>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3 мая 2018 г. N 158</w:t>
      </w:r>
    </w:p>
    <w:p>
      <w:pPr>
        <w:pStyle w:val="ConsPlusTitle"/>
        <w:ind w:hanging="0" w:left="0" w:right="0"/>
        <w:jc w:val="both"/>
        <w:rPr>
          <w:color w:val="000000"/>
        </w:rPr>
      </w:pPr>
      <w:r>
        <w:rPr>
          <w:color w:val="000000"/>
        </w:rPr>
      </w:r>
    </w:p>
    <w:p>
      <w:pPr>
        <w:pStyle w:val="ConsPlusTitle"/>
        <w:ind w:hanging="0" w:left="0" w:right="0"/>
        <w:jc w:val="center"/>
        <w:rPr>
          <w:color w:val="000000"/>
        </w:rPr>
      </w:pPr>
      <w:r>
        <w:rPr>
          <w:color w:val="000000"/>
        </w:rPr>
        <w:t>О НАДЕЛЕНИИ</w:t>
      </w:r>
    </w:p>
    <w:p>
      <w:pPr>
        <w:pStyle w:val="ConsPlusTitle"/>
        <w:ind w:hanging="0" w:left="0" w:right="0"/>
        <w:jc w:val="center"/>
        <w:rPr>
          <w:color w:val="000000"/>
        </w:rPr>
      </w:pPr>
      <w:r>
        <w:rPr>
          <w:color w:val="000000"/>
        </w:rPr>
        <w:t>ДОЛЖНОСТНЫХ ЛИЦ ВОЙСК НАЦИОНАЛЬНОЙ ГВАРДИИ РОССИЙСКОЙ</w:t>
      </w:r>
    </w:p>
    <w:p>
      <w:pPr>
        <w:pStyle w:val="ConsPlusTitle"/>
        <w:ind w:hanging="0" w:left="0" w:right="0"/>
        <w:jc w:val="center"/>
        <w:rPr>
          <w:color w:val="000000"/>
        </w:rPr>
      </w:pPr>
      <w:r>
        <w:rPr>
          <w:color w:val="000000"/>
        </w:rPr>
        <w:t>ФЕДЕРАЦИИ ПОЛНОМОЧИЯМИ ПО НАПРАВЛЕНИЮ ЗАПРОСОВ В КРЕДИТНЫЕ</w:t>
      </w:r>
    </w:p>
    <w:p>
      <w:pPr>
        <w:pStyle w:val="ConsPlusTitle"/>
        <w:ind w:hanging="0" w:left="0" w:right="0"/>
        <w:jc w:val="center"/>
        <w:rPr>
          <w:color w:val="000000"/>
        </w:rPr>
      </w:pPr>
      <w:r>
        <w:rPr>
          <w:color w:val="000000"/>
        </w:rPr>
        <w:t>ОРГАНИЗАЦИИ, НАЛОГОВЫЕ ОРГАНЫ РОССИЙСКОЙ ФЕДЕРАЦИИ</w:t>
      </w:r>
    </w:p>
    <w:p>
      <w:pPr>
        <w:pStyle w:val="ConsPlusTitle"/>
        <w:ind w:hanging="0" w:left="0" w:right="0"/>
        <w:jc w:val="center"/>
        <w:rPr>
          <w:color w:val="000000"/>
        </w:rPr>
      </w:pPr>
      <w:r>
        <w:rPr>
          <w:color w:val="000000"/>
        </w:rPr>
        <w:t>И ОРГАНЫ, ОСУЩЕСТВЛЯЮЩИЕ ГОСУДАРСТВЕННУЮ РЕГИСТРАЦИЮ ПРАВ</w:t>
      </w:r>
    </w:p>
    <w:p>
      <w:pPr>
        <w:pStyle w:val="ConsPlusTitle"/>
        <w:ind w:hanging="0" w:left="0" w:right="0"/>
        <w:jc w:val="center"/>
        <w:rPr>
          <w:color w:val="000000"/>
        </w:rPr>
      </w:pPr>
      <w:r>
        <w:rPr>
          <w:color w:val="000000"/>
        </w:rPr>
        <w:t>НА НЕДВИЖИМОЕ ИМУЩЕСТВО И СДЕЛОК С НИМ, ПРИ ОСУЩЕСТВЛЕНИИ</w:t>
      </w:r>
    </w:p>
    <w:p>
      <w:pPr>
        <w:pStyle w:val="ConsPlusTitle"/>
        <w:ind w:hanging="0" w:left="0" w:right="0"/>
        <w:jc w:val="center"/>
        <w:rPr>
          <w:color w:val="000000"/>
        </w:rPr>
      </w:pPr>
      <w:r>
        <w:rPr>
          <w:color w:val="000000"/>
        </w:rPr>
        <w:t>ПРОВЕРОК В ЦЕЛЯХ ПРОТИВОДЕЙСТВИЯ КОРРУПЦИИ</w:t>
      </w:r>
    </w:p>
    <w:p>
      <w:pPr>
        <w:pStyle w:val="ConsPlusNormal"/>
        <w:jc w:val="left"/>
        <w:rPr>
          <w:color w:val="000000"/>
        </w:rPr>
      </w:pPr>
      <w:r>
        <w:rPr>
          <w:color w:val="000000"/>
        </w:rPr>
      </w:r>
    </w:p>
    <w:tbl>
      <w:tblPr>
        <w:tblW w:w="10207" w:type="dxa"/>
        <w:jc w:val="left"/>
        <w:tblInd w:w="0" w:type="dxa"/>
        <w:tblLayout w:type="fixed"/>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color w:val="000000"/>
              </w:rPr>
            </w:pPr>
            <w:r>
              <w:rPr>
                <w:color w:val="000000"/>
              </w:rPr>
            </w:r>
          </w:p>
        </w:tc>
        <w:tc>
          <w:tcPr>
            <w:tcW w:w="112" w:type="dxa"/>
            <w:tcBorders/>
            <w:shd w:color="auto" w:fill="F4F3F8"/>
          </w:tcPr>
          <w:p>
            <w:pPr>
              <w:pStyle w:val="ConsPlusNormal"/>
              <w:tabs>
                <w:tab w:val="clear" w:pos="720"/>
              </w:tabs>
              <w:jc w:val="left"/>
              <w:rPr>
                <w:color w:val="000000"/>
              </w:rPr>
            </w:pPr>
            <w:r>
              <w:rPr>
                <w:color w:val="000000"/>
              </w:rPr>
            </w:r>
          </w:p>
        </w:tc>
        <w:tc>
          <w:tcPr>
            <w:tcW w:w="9921" w:type="dxa"/>
            <w:tcBorders/>
            <w:shd w:color="auto" w:fill="F4F3F8"/>
            <w:tcMar>
              <w:top w:w="113" w:type="dxa"/>
              <w:bottom w:w="113" w:type="dxa"/>
            </w:tcMar>
          </w:tcPr>
          <w:p>
            <w:pPr>
              <w:pStyle w:val="ConsPlusNormal"/>
              <w:tabs>
                <w:tab w:val="clear" w:pos="720"/>
              </w:tabs>
              <w:ind w:hanging="0" w:left="0" w:right="0"/>
              <w:jc w:val="center"/>
              <w:rPr>
                <w:color w:val="000000"/>
              </w:rPr>
            </w:pPr>
            <w:r>
              <w:rPr>
                <w:color w:val="392C69"/>
              </w:rPr>
              <w:t>Список изменяющих документов</w:t>
            </w:r>
          </w:p>
          <w:p>
            <w:pPr>
              <w:pStyle w:val="ConsPlusNormal"/>
              <w:tabs>
                <w:tab w:val="clear" w:pos="720"/>
              </w:tabs>
              <w:ind w:hanging="0" w:left="0" w:right="0"/>
              <w:jc w:val="center"/>
              <w:rPr/>
            </w:pPr>
            <w:r>
              <w:rPr>
                <w:color w:val="392C69"/>
              </w:rPr>
              <w:t>(в ред. Приказа Росгвардии от 11.05.2021 N 161)</w:t>
            </w:r>
          </w:p>
        </w:tc>
        <w:tc>
          <w:tcPr>
            <w:tcW w:w="113" w:type="dxa"/>
            <w:tcBorders/>
            <w:shd w:color="auto" w:fill="F4F3F8"/>
          </w:tcPr>
          <w:p>
            <w:pPr>
              <w:pStyle w:val="ConsPlusNormal"/>
              <w:tabs>
                <w:tab w:val="clear" w:pos="720"/>
              </w:tabs>
              <w:ind w:hanging="0" w:left="0" w:right="0"/>
              <w:jc w:val="center"/>
              <w:rPr>
                <w:color w:val="392C69"/>
              </w:rPr>
            </w:pPr>
            <w:r>
              <w:rPr>
                <w:color w:val="392C69"/>
              </w:rPr>
            </w:r>
          </w:p>
        </w:tc>
      </w:tr>
    </w:tbl>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 пунктами 8 и 14 перечня должностных лиц, наделенных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при осуществлении проверок в целях противодействия коррупции, утвержденного Указом Президента Российской Федерации от 2 апреля 2013 г. N 309 "О мерах по реализации отдельных положений Федерального закона "О противодействии коррупции" &lt;1&gt;, приказываю:</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2013, N 14, ст. 1670; 2017, N 39, ст. 5682.</w:t>
      </w:r>
    </w:p>
    <w:p>
      <w:pPr>
        <w:pStyle w:val="ConsPlusNormal"/>
        <w:ind w:hanging="0" w:left="0" w:right="0"/>
        <w:jc w:val="both"/>
        <w:rPr>
          <w:color w:val="000000"/>
        </w:rPr>
      </w:pPr>
      <w:r>
        <w:rPr>
          <w:color w:val="000000"/>
        </w:rPr>
      </w:r>
    </w:p>
    <w:p>
      <w:pPr>
        <w:pStyle w:val="ConsPlusNormal"/>
        <w:ind w:firstLine="540" w:left="0" w:right="0"/>
        <w:jc w:val="both"/>
        <w:rPr>
          <w:color w:val="000000"/>
        </w:rPr>
      </w:pPr>
      <w:bookmarkStart w:id="0" w:name="Par24"/>
      <w:bookmarkEnd w:id="0"/>
      <w:r>
        <w:rPr>
          <w:color w:val="000000"/>
        </w:rPr>
        <w:t>1. Наделить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при осуществлении проверок в целях противодействия коррупции:</w:t>
      </w:r>
    </w:p>
    <w:p>
      <w:pPr>
        <w:pStyle w:val="ConsPlusNormal"/>
        <w:spacing w:before="240" w:after="0"/>
        <w:ind w:firstLine="540" w:left="0" w:right="0"/>
        <w:jc w:val="both"/>
        <w:rPr>
          <w:color w:val="000000"/>
        </w:rPr>
      </w:pPr>
      <w:r>
        <w:rPr>
          <w:color w:val="000000"/>
        </w:rPr>
        <w:t>первого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spacing w:before="240" w:after="0"/>
        <w:ind w:firstLine="540" w:left="0" w:right="0"/>
        <w:jc w:val="both"/>
        <w:rPr>
          <w:color w:val="000000"/>
        </w:rPr>
      </w:pPr>
      <w:r>
        <w:rPr>
          <w:color w:val="000000"/>
        </w:rPr>
        <w:t>начальника Главного штаба войск национальной гвардии Российской Федерации -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ind w:hanging="0" w:left="0" w:right="0"/>
        <w:jc w:val="both"/>
        <w:rPr>
          <w:color w:val="000000"/>
        </w:rPr>
      </w:pPr>
      <w:r>
        <w:rPr>
          <w:color w:val="000000"/>
        </w:rPr>
        <w:t>(в ред. Приказа Росгвардии от 11.05.2021 N 161)</w:t>
      </w:r>
    </w:p>
    <w:p>
      <w:pPr>
        <w:pStyle w:val="ConsPlusNormal"/>
        <w:spacing w:before="240" w:after="0"/>
        <w:ind w:firstLine="540" w:left="0" w:right="0"/>
        <w:jc w:val="both"/>
        <w:rPr>
          <w:color w:val="000000"/>
        </w:rPr>
      </w:pPr>
      <w:r>
        <w:rPr>
          <w:color w:val="000000"/>
        </w:rPr>
        <w:t>статс-секретаря -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spacing w:before="240" w:after="0"/>
        <w:ind w:firstLine="540" w:left="0" w:right="0"/>
        <w:jc w:val="both"/>
        <w:rPr>
          <w:color w:val="000000"/>
        </w:rPr>
      </w:pPr>
      <w:r>
        <w:rPr>
          <w:color w:val="000000"/>
        </w:rPr>
        <w:t>командующих округами войск национальной гвардии Российской Федерации.</w:t>
      </w:r>
    </w:p>
    <w:p>
      <w:pPr>
        <w:pStyle w:val="ConsPlusNormal"/>
        <w:spacing w:before="240" w:after="0"/>
        <w:ind w:firstLine="540" w:left="0" w:right="0"/>
        <w:jc w:val="both"/>
        <w:rPr>
          <w:color w:val="000000"/>
        </w:rPr>
      </w:pPr>
      <w:r>
        <w:rPr>
          <w:color w:val="000000"/>
        </w:rPr>
        <w:t xml:space="preserve">2. Командирам соединения, воинских частей, начальникам военных образовательных организаций высшего образования и иных организаций войск национальной гвардии Российской Федерации, непосредственно подчиненных директору Федеральной службы войск национальной гвардии Российской Федерации - главнокомандующему войсками национальной гвардии Российской Федерации, начальникам Центра специального назначения сил оперативного реагирования и авиации Федеральной службы войск национальной гвардии Российской Федерации и Центра специального назначения вневедомственной охраны Федеральной службы войск национальной гвардии Российской Федерации, руководителям организаций, созданных для выполнения задач, возложенных на Федеральную службу войск национальной гвардии Российской Федерации, представлять проекты запросов, указанных в </w:t>
      </w:r>
      <w:hyperlink w:anchor="Par24" w:tgtFrame="1. Наделить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при осуществлении проверок в целях противодействия коррупции:">
        <w:r>
          <w:rPr>
            <w:color w:val="0000FF"/>
          </w:rPr>
          <w:t>пункте 1</w:t>
        </w:r>
      </w:hyperlink>
      <w:r>
        <w:rPr>
          <w:color w:val="000000"/>
        </w:rPr>
        <w:t xml:space="preserve"> настоящего приказа, с копиями материалов, послуживших основаниями для их направления, в Главное управление кадров Федеральной службы войск национальной гвардии Российской Федерации.</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Директор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главнокомандующий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 армии</w:t>
      </w:r>
    </w:p>
    <w:p>
      <w:pPr>
        <w:pStyle w:val="ConsPlusNormal"/>
        <w:ind w:hanging="0" w:left="0" w:right="0"/>
        <w:jc w:val="right"/>
        <w:rPr>
          <w:color w:val="000000"/>
        </w:rPr>
      </w:pPr>
      <w:r>
        <w:rPr>
          <w:color w:val="000000"/>
        </w:rPr>
        <w:t>В.ЗОЛОТОВ</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headerReference w:type="default" r:id="rId2"/>
      <w:headerReference w:type="first" r:id="rId3"/>
      <w:footerReference w:type="default" r:id="rId4"/>
      <w:footerReference w:type="first" r:id="rId5"/>
      <w:type w:val="nextPage"/>
      <w:pgSz w:w="11906" w:h="16838"/>
      <w:pgMar w:left="1133" w:right="566" w:gutter="0" w:header="0" w:top="1440" w:footer="0" w:bottom="1440"/>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nsPlusNormal"/>
      <w:pBdr>
        <w:bottom w:val="single" w:sz="12" w:space="0" w:color="000000"/>
      </w:pBdr>
      <w:jc w:val="center"/>
      <w:rPr>
        <w:color w:val="000000"/>
        <w:sz w:val="1"/>
      </w:rPr>
    </w:pPr>
    <w:r>
      <w:rPr>
        <w:color w:val="000000"/>
        <w:sz w:val="1"/>
      </w:rPr>
    </w:r>
  </w:p>
  <w:tbl>
    <w:tblPr>
      <w:tblW w:w="10208" w:type="dxa"/>
      <w:jc w:val="left"/>
      <w:tblInd w:w="0" w:type="dxa"/>
      <w:tblLayout w:type="fixed"/>
      <w:tblCellMar>
        <w:top w:w="0" w:type="dxa"/>
        <w:left w:w="40" w:type="dxa"/>
        <w:bottom w:w="0" w:type="dxa"/>
        <w:right w:w="40" w:type="dxa"/>
      </w:tblCellMar>
    </w:tblPr>
    <w:tblGrid>
      <w:gridCol w:w="3367"/>
      <w:gridCol w:w="3471"/>
      <w:gridCol w:w="3370"/>
    </w:tblGrid>
    <w:tr>
      <w:trPr>
        <w:trHeight w:val="1663" w:hRule="exact"/>
      </w:trPr>
      <w:tc>
        <w:tcPr>
          <w:tcW w:w="3367" w:type="dxa"/>
          <w:tcBorders/>
          <w:vAlign w:val="center"/>
        </w:tcPr>
        <w:p>
          <w:pPr>
            <w:pStyle w:val="ConsPlusNormal"/>
            <w:tabs>
              <w:tab w:val="clear" w:pos="720"/>
            </w:tabs>
            <w:jc w:val="left"/>
            <w:rPr/>
          </w:pPr>
          <w:r>
            <w:rPr>
              <w:rFonts w:ascii="Tahoma" w:hAnsi="Tahoma"/>
              <w:b/>
              <w:color w:val="F58220"/>
              <w:sz w:val="28"/>
            </w:rPr>
            <w:t>КонсультантПлюс</w:t>
          </w:r>
          <w:r>
            <w:rPr>
              <w:color w:val="000000"/>
            </w:rPr>
            <w:br/>
          </w:r>
          <w:r>
            <w:rPr>
              <w:rFonts w:ascii="Tahoma" w:hAnsi="Tahoma"/>
              <w:b/>
              <w:color w:val="000000"/>
              <w:sz w:val="16"/>
            </w:rPr>
            <w:t>надежная правовая поддержка</w:t>
          </w:r>
        </w:p>
      </w:tc>
      <w:tc>
        <w:tcPr>
          <w:tcW w:w="3471" w:type="dxa"/>
          <w:tcBorders/>
          <w:vAlign w:val="center"/>
        </w:tcPr>
        <w:p>
          <w:pPr>
            <w:pStyle w:val="ConsPlusNormal"/>
            <w:tabs>
              <w:tab w:val="clear" w:pos="720"/>
            </w:tabs>
            <w:jc w:val="center"/>
            <w:rPr/>
          </w:pPr>
          <w:hyperlink r:id="rId1">
            <w:r>
              <w:rPr>
                <w:rFonts w:ascii="Tahoma" w:hAnsi="Tahoma"/>
                <w:b/>
                <w:color w:val="0000FF"/>
                <w:sz w:val="20"/>
              </w:rPr>
              <w:t>www.consultant.ru</w:t>
            </w:r>
          </w:hyperlink>
        </w:p>
      </w:tc>
      <w:tc>
        <w:tcPr>
          <w:tcW w:w="3370" w:type="dxa"/>
          <w:tcBorders/>
          <w:vAlign w:val="center"/>
        </w:tcPr>
        <w:p>
          <w:pPr>
            <w:pStyle w:val="ConsPlusNormal"/>
            <w:tabs>
              <w:tab w:val="clear" w:pos="720"/>
            </w:tabs>
            <w:jc w:val="right"/>
            <w:rPr/>
          </w:pPr>
          <w:r>
            <w:rPr>
              <w:rFonts w:ascii="Tahoma" w:hAnsi="Tahoma"/>
              <w:color w:val="000000"/>
              <w:sz w:val="20"/>
            </w:rPr>
            <w:t xml:space="preserve">Страница </w:t>
          </w:r>
          <w:r>
            <w:rPr>
              <w:color w:val="000000"/>
            </w:rPr>
            <w:fldChar w:fldCharType="begin"/>
          </w:r>
          <w:r>
            <w:rPr>
              <w:color w:val="000000"/>
            </w:rPr>
            <w:instrText xml:space="preserve"> PAGE </w:instrText>
          </w:r>
          <w:r>
            <w:rPr>
              <w:color w:val="000000"/>
            </w:rPr>
            <w:fldChar w:fldCharType="separate"/>
          </w:r>
          <w:r>
            <w:rPr>
              <w:color w:val="000000"/>
            </w:rPr>
            <w:t>2</w:t>
          </w:r>
          <w:r>
            <w:rPr>
              <w:color w:val="000000"/>
            </w:rPr>
            <w:fldChar w:fldCharType="end"/>
          </w:r>
          <w:r>
            <w:rPr>
              <w:rFonts w:ascii="Tahoma" w:hAnsi="Tahoma"/>
              <w:color w:val="000000"/>
              <w:sz w:val="20"/>
            </w:rPr>
            <w:t xml:space="preserve"> из </w:t>
          </w:r>
          <w:r>
            <w:rPr>
              <w:color w:val="000000"/>
            </w:rPr>
            <w:fldChar w:fldCharType="begin"/>
          </w:r>
          <w:r>
            <w:rPr>
              <w:color w:val="000000"/>
            </w:rPr>
            <w:instrText xml:space="preserve"> NUMPAGES </w:instrText>
          </w:r>
          <w:r>
            <w:rPr>
              <w:color w:val="000000"/>
            </w:rPr>
            <w:fldChar w:fldCharType="separate"/>
          </w:r>
          <w:r>
            <w:rPr>
              <w:color w:val="000000"/>
            </w:rPr>
            <w:t>2</w:t>
          </w:r>
          <w:r>
            <w:rPr>
              <w:color w:val="000000"/>
            </w:rPr>
            <w:fldChar w:fldCharType="end"/>
          </w:r>
        </w:p>
      </w:tc>
    </w:tr>
  </w:tbl>
  <w:p>
    <w:pPr>
      <w:pStyle w:val="ConsPlusNormal"/>
      <w:jc w:val="left"/>
      <w:rPr>
        <w:color w:val="000000"/>
        <w:sz w:val="1"/>
      </w:rPr>
    </w:pPr>
    <w:r>
      <w:rPr>
        <w:color w:val="000000"/>
        <w:sz w:val="1"/>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nsPlusNormal"/>
      <w:pBdr>
        <w:bottom w:val="single" w:sz="12" w:space="0" w:color="000000"/>
      </w:pBdr>
      <w:jc w:val="center"/>
      <w:rPr>
        <w:color w:val="000000"/>
        <w:sz w:val="1"/>
      </w:rPr>
    </w:pPr>
    <w:r>
      <w:rPr>
        <w:color w:val="000000"/>
        <w:sz w:val="1"/>
      </w:rPr>
    </w:r>
  </w:p>
  <w:tbl>
    <w:tblPr>
      <w:tblW w:w="10208" w:type="dxa"/>
      <w:jc w:val="left"/>
      <w:tblInd w:w="0" w:type="dxa"/>
      <w:tblLayout w:type="fixed"/>
      <w:tblCellMar>
        <w:top w:w="0" w:type="dxa"/>
        <w:left w:w="40" w:type="dxa"/>
        <w:bottom w:w="0" w:type="dxa"/>
        <w:right w:w="40" w:type="dxa"/>
      </w:tblCellMar>
    </w:tblPr>
    <w:tblGrid>
      <w:gridCol w:w="3367"/>
      <w:gridCol w:w="3471"/>
      <w:gridCol w:w="3370"/>
    </w:tblGrid>
    <w:tr>
      <w:trPr>
        <w:trHeight w:val="1663" w:hRule="exact"/>
      </w:trPr>
      <w:tc>
        <w:tcPr>
          <w:tcW w:w="3367" w:type="dxa"/>
          <w:tcBorders/>
          <w:vAlign w:val="center"/>
        </w:tcPr>
        <w:p>
          <w:pPr>
            <w:pStyle w:val="ConsPlusNormal"/>
            <w:tabs>
              <w:tab w:val="clear" w:pos="720"/>
            </w:tabs>
            <w:jc w:val="left"/>
            <w:rPr/>
          </w:pPr>
          <w:r>
            <w:rPr>
              <w:rFonts w:ascii="Tahoma" w:hAnsi="Tahoma"/>
              <w:b/>
              <w:color w:val="F58220"/>
              <w:sz w:val="28"/>
            </w:rPr>
            <w:t>КонсультантПлюс</w:t>
          </w:r>
          <w:r>
            <w:rPr>
              <w:color w:val="000000"/>
            </w:rPr>
            <w:br/>
          </w:r>
          <w:r>
            <w:rPr>
              <w:rFonts w:ascii="Tahoma" w:hAnsi="Tahoma"/>
              <w:b/>
              <w:color w:val="000000"/>
              <w:sz w:val="16"/>
            </w:rPr>
            <w:t>надежная правовая поддержка</w:t>
          </w:r>
        </w:p>
      </w:tc>
      <w:tc>
        <w:tcPr>
          <w:tcW w:w="3471" w:type="dxa"/>
          <w:tcBorders/>
          <w:vAlign w:val="center"/>
        </w:tcPr>
        <w:p>
          <w:pPr>
            <w:pStyle w:val="ConsPlusNormal"/>
            <w:tabs>
              <w:tab w:val="clear" w:pos="720"/>
            </w:tabs>
            <w:jc w:val="center"/>
            <w:rPr/>
          </w:pPr>
          <w:hyperlink r:id="rId1">
            <w:r>
              <w:rPr>
                <w:rFonts w:ascii="Tahoma" w:hAnsi="Tahoma"/>
                <w:b/>
                <w:color w:val="0000FF"/>
                <w:sz w:val="20"/>
              </w:rPr>
              <w:t>www.consultant.ru</w:t>
            </w:r>
          </w:hyperlink>
        </w:p>
      </w:tc>
      <w:tc>
        <w:tcPr>
          <w:tcW w:w="3370" w:type="dxa"/>
          <w:tcBorders/>
          <w:vAlign w:val="center"/>
        </w:tcPr>
        <w:p>
          <w:pPr>
            <w:pStyle w:val="ConsPlusNormal"/>
            <w:tabs>
              <w:tab w:val="clear" w:pos="720"/>
            </w:tabs>
            <w:jc w:val="right"/>
            <w:rPr/>
          </w:pPr>
          <w:r>
            <w:rPr>
              <w:rFonts w:ascii="Tahoma" w:hAnsi="Tahoma"/>
              <w:color w:val="000000"/>
              <w:sz w:val="20"/>
            </w:rPr>
            <w:t xml:space="preserve">Страница </w:t>
          </w:r>
          <w:r>
            <w:rPr>
              <w:color w:val="000000"/>
            </w:rPr>
            <w:fldChar w:fldCharType="begin"/>
          </w:r>
          <w:r>
            <w:rPr>
              <w:color w:val="000000"/>
            </w:rPr>
            <w:instrText xml:space="preserve"> PAGE </w:instrText>
          </w:r>
          <w:r>
            <w:rPr>
              <w:color w:val="000000"/>
            </w:rPr>
            <w:fldChar w:fldCharType="separate"/>
          </w:r>
          <w:r>
            <w:rPr>
              <w:color w:val="000000"/>
            </w:rPr>
            <w:t>1</w:t>
          </w:r>
          <w:r>
            <w:rPr>
              <w:color w:val="000000"/>
            </w:rPr>
            <w:fldChar w:fldCharType="end"/>
          </w:r>
          <w:r>
            <w:rPr>
              <w:rFonts w:ascii="Tahoma" w:hAnsi="Tahoma"/>
              <w:color w:val="000000"/>
              <w:sz w:val="20"/>
            </w:rPr>
            <w:t xml:space="preserve"> из </w:t>
          </w:r>
          <w:r>
            <w:rPr>
              <w:color w:val="000000"/>
            </w:rPr>
            <w:fldChar w:fldCharType="begin"/>
          </w:r>
          <w:r>
            <w:rPr>
              <w:color w:val="000000"/>
            </w:rPr>
            <w:instrText xml:space="preserve"> NUMPAGES </w:instrText>
          </w:r>
          <w:r>
            <w:rPr>
              <w:color w:val="000000"/>
            </w:rPr>
            <w:fldChar w:fldCharType="separate"/>
          </w:r>
          <w:r>
            <w:rPr>
              <w:color w:val="000000"/>
            </w:rPr>
            <w:t>2</w:t>
          </w:r>
          <w:r>
            <w:rPr>
              <w:color w:val="000000"/>
            </w:rPr>
            <w:fldChar w:fldCharType="end"/>
          </w:r>
        </w:p>
      </w:tc>
    </w:tr>
  </w:tbl>
  <w:p>
    <w:pPr>
      <w:pStyle w:val="ConsPlusNormal"/>
      <w:jc w:val="left"/>
      <w:rPr>
        <w:color w:val="000000"/>
        <w:sz w:val="1"/>
      </w:rPr>
    </w:pPr>
    <w:r>
      <w:rPr>
        <w:color w:val="000000"/>
        <w:sz w:val="1"/>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10205" w:type="dxa"/>
      <w:jc w:val="left"/>
      <w:tblInd w:w="0" w:type="dxa"/>
      <w:tblLayout w:type="fixed"/>
      <w:tblCellMar>
        <w:top w:w="0" w:type="dxa"/>
        <w:left w:w="40" w:type="dxa"/>
        <w:bottom w:w="0" w:type="dxa"/>
        <w:right w:w="40" w:type="dxa"/>
      </w:tblCellMar>
    </w:tblPr>
    <w:tblGrid>
      <w:gridCol w:w="5510"/>
      <w:gridCol w:w="4694"/>
    </w:tblGrid>
    <w:tr>
      <w:trPr>
        <w:trHeight w:val="1683" w:hRule="exact"/>
      </w:trPr>
      <w:tc>
        <w:tcPr>
          <w:tcW w:w="5510" w:type="dxa"/>
          <w:tcBorders/>
          <w:vAlign w:val="center"/>
        </w:tcPr>
        <w:p>
          <w:pPr>
            <w:pStyle w:val="ConsPlusNormal"/>
            <w:tabs>
              <w:tab w:val="clear" w:pos="720"/>
            </w:tabs>
            <w:jc w:val="left"/>
            <w:rPr/>
          </w:pPr>
          <w:r>
            <w:rPr>
              <w:rFonts w:ascii="Tahoma" w:hAnsi="Tahoma"/>
              <w:color w:val="000000"/>
              <w:sz w:val="16"/>
            </w:rPr>
            <w:t>Приказ Росгвардии от 03.05.2018 N 158</w:t>
          </w:r>
          <w:r>
            <w:rPr>
              <w:color w:val="000000"/>
            </w:rPr>
            <w:br/>
          </w:r>
          <w:r>
            <w:rPr>
              <w:rFonts w:ascii="Tahoma" w:hAnsi="Tahoma"/>
              <w:color w:val="000000"/>
              <w:sz w:val="16"/>
            </w:rPr>
            <w:t>(ред. от 11.05.2021)</w:t>
          </w:r>
          <w:r>
            <w:rPr>
              <w:color w:val="000000"/>
            </w:rPr>
            <w:br/>
          </w:r>
          <w:r>
            <w:rPr>
              <w:rFonts w:ascii="Tahoma" w:hAnsi="Tahoma"/>
              <w:color w:val="000000"/>
              <w:sz w:val="16"/>
            </w:rPr>
            <w:t>"О наделении должностных лиц войск национальной гвардии Росси...</w:t>
          </w:r>
        </w:p>
      </w:tc>
      <w:tc>
        <w:tcPr>
          <w:tcW w:w="4694" w:type="dxa"/>
          <w:tcBorders/>
          <w:vAlign w:val="center"/>
        </w:tcPr>
        <w:p>
          <w:pPr>
            <w:pStyle w:val="ConsPlusNormal"/>
            <w:tabs>
              <w:tab w:val="clear" w:pos="720"/>
            </w:tabs>
            <w:jc w:val="right"/>
            <w:rPr/>
          </w:pPr>
          <w:r>
            <w:rPr>
              <w:rFonts w:ascii="Tahoma" w:hAnsi="Tahoma"/>
              <w:color w:val="000000"/>
              <w:sz w:val="18"/>
            </w:rPr>
            <w:t xml:space="preserve">Документ предоставлен </w:t>
          </w:r>
          <w:hyperlink r:id="rId1">
            <w:r>
              <w:rPr>
                <w:rFonts w:ascii="Tahoma" w:hAnsi="Tahoma"/>
                <w:color w:val="0000FF"/>
                <w:sz w:val="18"/>
              </w:rPr>
              <w:t>КонсультантПлюс</w:t>
            </w:r>
          </w:hyperlink>
          <w:r>
            <w:rPr>
              <w:color w:val="000000"/>
            </w:rPr>
            <w:br/>
          </w:r>
          <w:r>
            <w:rPr>
              <w:rFonts w:ascii="Tahoma" w:hAnsi="Tahoma"/>
              <w:color w:val="000000"/>
              <w:sz w:val="16"/>
            </w:rPr>
            <w:t>Дата сохранения: 05.10.2021</w:t>
          </w:r>
        </w:p>
      </w:tc>
    </w:tr>
  </w:tbl>
  <w:p>
    <w:pPr>
      <w:pStyle w:val="ConsPlusNormal"/>
      <w:pBdr>
        <w:bottom w:val="single" w:sz="12" w:space="0" w:color="000000"/>
      </w:pBdr>
      <w:jc w:val="center"/>
      <w:rPr>
        <w:color w:val="000000"/>
        <w:sz w:val="1"/>
      </w:rPr>
    </w:pPr>
    <w:r>
      <w:rPr>
        <w:color w:val="000000"/>
        <w:sz w:val="1"/>
      </w:rPr>
    </w:r>
  </w:p>
  <w:p>
    <w:pPr>
      <w:pStyle w:val="ConsPlusNormal"/>
      <w:jc w:val="center"/>
      <w:rPr>
        <w:color w:val="000000"/>
      </w:rPr>
    </w:pPr>
    <w:r>
      <w:rPr>
        <w:color w:val="000000"/>
        <w:sz w:val="10"/>
      </w:rPr>
      <w:t xml:space="preserve"> </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10205" w:type="dxa"/>
      <w:jc w:val="left"/>
      <w:tblInd w:w="0" w:type="dxa"/>
      <w:tblLayout w:type="fixed"/>
      <w:tblCellMar>
        <w:top w:w="0" w:type="dxa"/>
        <w:left w:w="40" w:type="dxa"/>
        <w:bottom w:w="0" w:type="dxa"/>
        <w:right w:w="40" w:type="dxa"/>
      </w:tblCellMar>
    </w:tblPr>
    <w:tblGrid>
      <w:gridCol w:w="5510"/>
      <w:gridCol w:w="4694"/>
    </w:tblGrid>
    <w:tr>
      <w:trPr>
        <w:trHeight w:val="1683" w:hRule="exact"/>
      </w:trPr>
      <w:tc>
        <w:tcPr>
          <w:tcW w:w="5510" w:type="dxa"/>
          <w:tcBorders/>
          <w:vAlign w:val="center"/>
        </w:tcPr>
        <w:p>
          <w:pPr>
            <w:pStyle w:val="ConsPlusNormal"/>
            <w:tabs>
              <w:tab w:val="clear" w:pos="720"/>
            </w:tabs>
            <w:jc w:val="left"/>
            <w:rPr>
              <w:color w:val="000000"/>
            </w:rPr>
          </w:pPr>
          <w:r>
            <w:rPr/>
            <w:drawing>
              <wp:inline distT="0" distB="0" distL="0" distR="0">
                <wp:extent cx="1905000" cy="4476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1"/>
                        <a:stretch>
                          <a:fillRect/>
                        </a:stretch>
                      </pic:blipFill>
                      <pic:spPr bwMode="auto">
                        <a:xfrm>
                          <a:off x="0" y="0"/>
                          <a:ext cx="1905000" cy="447675"/>
                        </a:xfrm>
                        <a:prstGeom prst="rect">
                          <a:avLst/>
                        </a:prstGeom>
                      </pic:spPr>
                    </pic:pic>
                  </a:graphicData>
                </a:graphic>
              </wp:inline>
            </w:drawing>
          </w:r>
        </w:p>
        <w:p>
          <w:pPr>
            <w:pStyle w:val="ConsPlusNormal"/>
            <w:tabs>
              <w:tab w:val="clear" w:pos="720"/>
            </w:tabs>
            <w:jc w:val="left"/>
            <w:rPr/>
          </w:pPr>
          <w:r>
            <w:rPr>
              <w:rFonts w:ascii="Tahoma" w:hAnsi="Tahoma"/>
              <w:color w:val="000000"/>
              <w:sz w:val="16"/>
            </w:rPr>
            <w:t>Приказ Росгвардии от 03.05.2018 N 158 (ред. от 11.05.2021) "О наделении должностных лиц войск национальной гвардии Росси...</w:t>
          </w:r>
        </w:p>
      </w:tc>
      <w:tc>
        <w:tcPr>
          <w:tcW w:w="4694" w:type="dxa"/>
          <w:tcBorders/>
          <w:vAlign w:val="center"/>
        </w:tcPr>
        <w:p>
          <w:pPr>
            <w:pStyle w:val="ConsPlusNormal"/>
            <w:tabs>
              <w:tab w:val="clear" w:pos="720"/>
            </w:tabs>
            <w:jc w:val="right"/>
            <w:rPr/>
          </w:pPr>
          <w:r>
            <w:rPr>
              <w:rFonts w:ascii="Tahoma" w:hAnsi="Tahoma"/>
              <w:color w:val="000000"/>
              <w:sz w:val="18"/>
            </w:rPr>
            <w:t xml:space="preserve">Документ предоставлен </w:t>
          </w:r>
          <w:hyperlink r:id="rId2">
            <w:r>
              <w:rPr>
                <w:rFonts w:ascii="Tahoma" w:hAnsi="Tahoma"/>
                <w:color w:val="0000FF"/>
                <w:sz w:val="18"/>
              </w:rPr>
              <w:t>КонсультантПлюс</w:t>
            </w:r>
          </w:hyperlink>
          <w:r>
            <w:rPr>
              <w:color w:val="000000"/>
            </w:rPr>
            <w:br/>
          </w:r>
          <w:r>
            <w:rPr>
              <w:rFonts w:ascii="Tahoma" w:hAnsi="Tahoma"/>
              <w:color w:val="000000"/>
              <w:sz w:val="16"/>
            </w:rPr>
            <w:t>Дата сохранения: 05.10.2021</w:t>
          </w:r>
        </w:p>
      </w:tc>
    </w:tr>
  </w:tbl>
  <w:p>
    <w:pPr>
      <w:pStyle w:val="ConsPlusNormal"/>
      <w:pBdr>
        <w:bottom w:val="single" w:sz="12" w:space="0" w:color="000000"/>
      </w:pBdr>
      <w:jc w:val="center"/>
      <w:rPr>
        <w:color w:val="000000"/>
        <w:sz w:val="1"/>
      </w:rPr>
    </w:pPr>
    <w:r>
      <w:rPr>
        <w:color w:val="000000"/>
        <w:sz w:val="1"/>
      </w:rPr>
    </w:r>
  </w:p>
  <w:p>
    <w:pPr>
      <w:pStyle w:val="ConsPlusNormal"/>
      <w:jc w:val="center"/>
      <w:rPr>
        <w:color w:val="000000"/>
      </w:rPr>
    </w:pPr>
    <w:r>
      <w:rPr>
        <w:color w:val="000000"/>
        <w:sz w:val="10"/>
      </w:rPr>
      <w:t xml:space="preserve"> </w:t>
    </w:r>
  </w:p>
</w:hdr>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s://www.consultant.ru/" TargetMode="External"/>
</Relationships>
</file>

<file path=word/_rels/footer2.xml.rels><?xml version="1.0" encoding="UTF-8"?>
<Relationships xmlns="http://schemas.openxmlformats.org/package/2006/relationships"><Relationship Id="rId1" Type="http://schemas.openxmlformats.org/officeDocument/2006/relationships/hyperlink" Target="https://www.consultant.ru/" TargetMode="External"/>
</Relationships>
</file>

<file path=word/_rels/header1.xml.rels><?xml version="1.0" encoding="UTF-8"?>
<Relationships xmlns="http://schemas.openxmlformats.org/package/2006/relationships"><Relationship Id="rId1" Type="http://schemas.openxmlformats.org/officeDocument/2006/relationships/hyperlink" Target="https://www.consultant.ru/" TargetMode="Externa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www.consultant.ru/" TargetMode="Externa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2021-10-05T17:14:00Z</dcterms:created>
  <dc:creator/>
  <dc:description/>
  <dc:language>en-US</dc:language>
  <cp:lastModifiedBy/>
  <cp:revision>0</cp:revision>
  <dc:subject/>
  <dc:title>Приказ Росгвардии от 03.05.2018 N 158(ред. от 11.05.2021)"О наделении должностных лиц войск национальной гвардии Российской Федерации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 при осуществлении проверок в целях противодействия коррупции"(Зарегистрировано в Минюсте России 28.05.2018 N 51199)</dc:title>
</cp:coreProperties>
</file>

<file path=docProps/custom.xml><?xml version="1.0" encoding="utf-8"?>
<Properties xmlns="http://schemas.openxmlformats.org/officeDocument/2006/custom-properties" xmlns:vt="http://schemas.openxmlformats.org/officeDocument/2006/docPropsVTypes"/>
</file>