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8"/>
              </w:rPr>
              <w:t>Приказ Росгвардии от 07.07.2021 N 258</w:t>
            </w:r>
            <w:r>
              <w:rPr>
                <w:color w:val="000000"/>
              </w:rPr>
              <w:br/>
            </w:r>
            <w:r>
              <w:rPr>
                <w:color w:val="000000"/>
                <w:sz w:val="48"/>
              </w:rPr>
              <w:t>"Об утверждении Порядка получения федеральными государственными служащими войск национальной гвардии Российской Федерации разрешения представителя нанимателя на участие на безвозмездной основе в управлении некоммерческими организациями"</w:t>
            </w:r>
            <w:r>
              <w:rPr>
                <w:color w:val="000000"/>
              </w:rPr>
              <w:br/>
            </w:r>
            <w:r>
              <w:rPr>
                <w:color w:val="000000"/>
                <w:sz w:val="48"/>
              </w:rPr>
              <w:t>(Зарегистрировано в Минюсте России 11.08.2021 N 64599)</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11 августа 2021 г. N 64599</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7 июля 2021 г. N 258</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ПОРЯДКА</w:t>
      </w:r>
    </w:p>
    <w:p>
      <w:pPr>
        <w:pStyle w:val="ConsPlusTitle"/>
        <w:ind w:hanging="0" w:left="0" w:right="0"/>
        <w:jc w:val="center"/>
        <w:rPr>
          <w:color w:val="000000"/>
        </w:rPr>
      </w:pPr>
      <w:r>
        <w:rPr>
          <w:color w:val="000000"/>
        </w:rPr>
        <w:t>ПОЛУЧЕНИЯ ФЕДЕРАЛЬНЫМИ ГОСУДАРСТВЕННЫМИ СЛУЖАЩИМИ ВОЙСК</w:t>
      </w:r>
    </w:p>
    <w:p>
      <w:pPr>
        <w:pStyle w:val="ConsPlusTitle"/>
        <w:ind w:hanging="0" w:left="0" w:right="0"/>
        <w:jc w:val="center"/>
        <w:rPr>
          <w:color w:val="000000"/>
        </w:rPr>
      </w:pPr>
      <w:r>
        <w:rPr>
          <w:color w:val="000000"/>
        </w:rPr>
        <w:t>НАЦИОНАЛЬНОЙ ГВАРДИИ РОССИЙСКОЙ ФЕДЕРАЦИИ РАЗРЕШЕНИЯ</w:t>
      </w:r>
    </w:p>
    <w:p>
      <w:pPr>
        <w:pStyle w:val="ConsPlusTitle"/>
        <w:ind w:hanging="0" w:left="0" w:right="0"/>
        <w:jc w:val="center"/>
        <w:rPr>
          <w:color w:val="000000"/>
        </w:rPr>
      </w:pPr>
      <w:r>
        <w:rPr>
          <w:color w:val="000000"/>
        </w:rPr>
        <w:t>ПРЕДСТАВИТЕЛЯ НАНИМАТЕЛЯ НА УЧАСТИЕ НА БЕЗВОЗМЕЗДНОЙ</w:t>
      </w:r>
    </w:p>
    <w:p>
      <w:pPr>
        <w:pStyle w:val="ConsPlusTitle"/>
        <w:ind w:hanging="0" w:left="0" w:right="0"/>
        <w:jc w:val="center"/>
        <w:rPr>
          <w:color w:val="000000"/>
        </w:rPr>
      </w:pPr>
      <w:r>
        <w:rPr>
          <w:color w:val="000000"/>
        </w:rPr>
        <w:t>ОСНОВЕ В УПРАВЛЕНИИ НЕКОММЕРЧЕСКИМИ ОРГАНИЗАЦИЯМИ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 подпунктом "б" пункта 3 части 1 статьи 17 Федерального закона от 27 июля 2004 г. N 79-ФЗ "О государственной гражданской службе Российской Федерации" (Собрание законодательства Российской Федерации, 2004, N 31, ст. 3215), статьей 27.1 Федерального закона от 27 мая 1998 г. N 76-ФЗ "О статусе военнослужащих" (Собрание законодательства Российской Федерации, 1998, N 22, ст. 2331; 2021, N 18, ст. 3060), частью 2 статьи 14 Федерального закона от 30 ноября 2011 г. N 342-ФЗ "О службе в органах внутренних дел Российской Федерации и внесении изменений в отдельные законодательные акты Российской Федерации" (Собрание законодательства Российской Федерации, 2011, N 49, ст. 7020; 2015, N 7, ст. 1022), а также частью 2 статьи 44 Федерального закона от 3 июля 2016 г. N 227-ФЗ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"О войсках национальной гвардии Российской Федерации" (Собрание законодательства Российской Федерации, 2016, N 27, ст. 4160; 2019, N 23, ст. 2910) приказываю:</w:t>
      </w:r>
    </w:p>
    <w:p>
      <w:pPr>
        <w:pStyle w:val="ConsPlusNormal"/>
        <w:spacing w:before="240" w:after="0"/>
        <w:ind w:firstLine="540" w:left="0" w:right="0"/>
        <w:jc w:val="both"/>
        <w:rPr>
          <w:color w:val="000000"/>
        </w:rPr>
      </w:pPr>
      <w:r>
        <w:rPr>
          <w:color w:val="000000"/>
        </w:rPr>
        <w:t xml:space="preserve">1. Утвердить прилагаемый </w:t>
      </w:r>
      <w:hyperlink w:anchor="Par39" w:tgtFrame="ПОРЯДОК">
        <w:r>
          <w:rPr>
            <w:color w:val="0000FF"/>
          </w:rPr>
          <w:t>Порядок</w:t>
        </w:r>
      </w:hyperlink>
      <w:r>
        <w:rPr>
          <w:color w:val="000000"/>
        </w:rPr>
        <w:t xml:space="preserve"> получения федеральными государственными служащими войск национальной гвардии Российской Федерации разрешения представителя нанимателя на участие на безвозмездной основе в управлении некоммерческими организациями.</w:t>
      </w:r>
    </w:p>
    <w:p>
      <w:pPr>
        <w:pStyle w:val="ConsPlusNormal"/>
        <w:spacing w:before="240" w:after="0"/>
        <w:ind w:firstLine="540" w:left="0" w:right="0"/>
        <w:jc w:val="both"/>
        <w:rPr>
          <w:color w:val="000000"/>
        </w:rPr>
      </w:pPr>
      <w:r>
        <w:rPr>
          <w:color w:val="000000"/>
        </w:rPr>
        <w:t>2. Первому заместителю (статс-секретарю - заместителю, заместителям)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начальникам (руководителям) структурных подразделений центрального аппарата Росгвардии, командующим округами войск национальной гвардии Российской Федерации, начальникам территориальных органов Росгвардии, командирам соединений, воинских частей, подразделений, начальникам военных образовательных организаций высшего образования и иных организаций войск национальной гвардии Российской Федерации организовать изучение настоящего приказа и обеспечить реализацию его положений.</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Утвержден</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258</w:t>
      </w:r>
    </w:p>
    <w:p>
      <w:pPr>
        <w:pStyle w:val="ConsPlusNormal"/>
        <w:ind w:hanging="0" w:left="0" w:right="0"/>
        <w:jc w:val="both"/>
        <w:rPr>
          <w:color w:val="000000"/>
        </w:rPr>
      </w:pPr>
      <w:r>
        <w:rPr>
          <w:color w:val="000000"/>
        </w:rPr>
      </w:r>
    </w:p>
    <w:p>
      <w:pPr>
        <w:pStyle w:val="ConsPlusTitle"/>
        <w:ind w:hanging="0" w:left="0" w:right="0"/>
        <w:jc w:val="center"/>
        <w:rPr>
          <w:color w:val="000000"/>
        </w:rPr>
      </w:pPr>
      <w:bookmarkStart w:id="0" w:name="Par39"/>
      <w:bookmarkEnd w:id="0"/>
      <w:r>
        <w:rPr>
          <w:color w:val="000000"/>
        </w:rPr>
        <w:t>ПОРЯДОК</w:t>
      </w:r>
    </w:p>
    <w:p>
      <w:pPr>
        <w:pStyle w:val="ConsPlusTitle"/>
        <w:ind w:hanging="0" w:left="0" w:right="0"/>
        <w:jc w:val="center"/>
        <w:rPr>
          <w:color w:val="000000"/>
        </w:rPr>
      </w:pPr>
      <w:r>
        <w:rPr>
          <w:color w:val="000000"/>
        </w:rPr>
        <w:t>ПОЛУЧЕНИЯ ФЕДЕРАЛЬНЫМИ ГОСУДАРСТВЕННЫМИ СЛУЖАЩИМИ ВОЙСК</w:t>
      </w:r>
    </w:p>
    <w:p>
      <w:pPr>
        <w:pStyle w:val="ConsPlusTitle"/>
        <w:ind w:hanging="0" w:left="0" w:right="0"/>
        <w:jc w:val="center"/>
        <w:rPr>
          <w:color w:val="000000"/>
        </w:rPr>
      </w:pPr>
      <w:r>
        <w:rPr>
          <w:color w:val="000000"/>
        </w:rPr>
        <w:t>НАЦИОНАЛЬНОЙ ГВАРДИИ РОССИЙСКОЙ ФЕДЕРАЦИИ РАЗРЕШЕНИЯ</w:t>
      </w:r>
    </w:p>
    <w:p>
      <w:pPr>
        <w:pStyle w:val="ConsPlusTitle"/>
        <w:ind w:hanging="0" w:left="0" w:right="0"/>
        <w:jc w:val="center"/>
        <w:rPr>
          <w:color w:val="000000"/>
        </w:rPr>
      </w:pPr>
      <w:r>
        <w:rPr>
          <w:color w:val="000000"/>
        </w:rPr>
        <w:t>ПРЕДСТАВИТЕЛЯ НАНИМАТЕЛЯ НА УЧАСТИЕ НА БЕЗВОЗМЕЗДНОЙ</w:t>
      </w:r>
    </w:p>
    <w:p>
      <w:pPr>
        <w:pStyle w:val="ConsPlusTitle"/>
        <w:ind w:hanging="0" w:left="0" w:right="0"/>
        <w:jc w:val="center"/>
        <w:rPr>
          <w:color w:val="000000"/>
        </w:rPr>
      </w:pPr>
      <w:r>
        <w:rPr>
          <w:color w:val="000000"/>
        </w:rPr>
        <w:t>ОСНОВЕ В УПРАВЛЕНИИ НЕКОММЕРЧЕСКИМИ ОРГАНИЗАЦИЯМИ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 Настоящий Порядок определяет процедуру получения федеральными государственными служащими войск национальной гвардии Российской Федерации (далее - государственные служащие) разрешения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(далее - директор), первого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(далее - первый заместитель директора), статс-секретаря -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(далее - статс-секретарь - заместитель директора), командующего округом войск национальной гвардии Российской Федерации (далее - командующий округом), начальника территориального органа Росгвардии, командира соединения, воинской части, подразделения, начальника военной образовательной организации высшего образования и иной организации войск национальной гвардии Российской Федерации (далее - командир (начальник) (далее - представитель нанимателя) на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Федеральной службе войск национальной гвардии Российской Федерации,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(далее - некоммерческая организация) в качестве единоличного исполнительного органа или вхождение в состав их коллегиальных органов управления (далее - разрешение).</w:t>
      </w:r>
    </w:p>
    <w:p>
      <w:pPr>
        <w:pStyle w:val="ConsPlusNormal"/>
        <w:spacing w:before="240" w:after="0"/>
        <w:ind w:firstLine="540" w:left="0" w:right="0"/>
        <w:jc w:val="both"/>
        <w:rPr>
          <w:color w:val="000000"/>
        </w:rPr>
      </w:pPr>
      <w:r>
        <w:rPr>
          <w:color w:val="000000"/>
        </w:rPr>
        <w:t>2. Участие государственных служащих на безвозмездной основе в управлении некоммерческими организациями не должно приводить к конфликту интересов или возможности возникновения конфликта интересов при исполнении должностных (служебных) обязанностей.</w:t>
      </w:r>
    </w:p>
    <w:p>
      <w:pPr>
        <w:pStyle w:val="ConsPlusNormal"/>
        <w:spacing w:before="240" w:after="0"/>
        <w:ind w:firstLine="540" w:left="0" w:right="0"/>
        <w:jc w:val="both"/>
        <w:rPr>
          <w:color w:val="000000"/>
        </w:rPr>
      </w:pPr>
      <w:r>
        <w:rPr>
          <w:color w:val="000000"/>
        </w:rPr>
        <w:t>3. Для получения разрешения государственными служащими направляется рапорт (заявление) на имя директора, первого заместителя директора, статс-секретаря - заместителя директора, командующего округом, командира (начальника) (в соответствии с полномочиями по назначению на должности государственной службы &lt;1&gt;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Подпункт 16 пункта 14 Положения о Федеральной службе войск национальной гвардии Российской Федерации, утвержденного Указом Президента Российской Федерации от 30 сентября 2016 г. N 510 (Собрание законодательства Российской Федерации, 2016, N 41, ст. 5802; 2021, N 18, ст. 3123); приказ Росгвардии от 1 ноября 2017 г. N 461 "О реализации должностными лицами войск национальной гвардии Российской Федерации отдельных полномочий по вопросам прохождения военной службы (службы)" (зарегистрирован Минюстом России 27 ноября 2017 года, регистрационный N 49014); приказ Росгвардии от 6 апреля 2017 г. N 104 "О возложении полномочий представителя нанимателя в войсках национальной гвардии Российской Федерации" (в редакции приказа Росгвардии от 10 сентября 2018 г. N 411) (зарегистрирован Минюстом России 2 мая 2017 года, регистрационный N 46566).</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 xml:space="preserve">4. Рапорт (заявление) о получении разрешения на участие на безвозмездной основе в управлении некоммерческими организациями (далее - рапорт (заявление) (рекомендуемый образец приведен в </w:t>
      </w:r>
      <w:hyperlink w:anchor="Par108" w:tgtFrame="Рапорт (заявление)">
        <w:r>
          <w:rPr>
            <w:color w:val="0000FF"/>
          </w:rPr>
          <w:t>приложении N 1</w:t>
        </w:r>
      </w:hyperlink>
      <w:r>
        <w:rPr>
          <w:color w:val="000000"/>
        </w:rPr>
        <w:t xml:space="preserve"> к настоящему Порядку) оформляется в письменном виде и представляется:</w:t>
      </w:r>
    </w:p>
    <w:p>
      <w:pPr>
        <w:pStyle w:val="ConsPlusNormal"/>
        <w:spacing w:before="240" w:after="0"/>
        <w:ind w:firstLine="540" w:left="0" w:right="0"/>
        <w:jc w:val="both"/>
        <w:rPr>
          <w:color w:val="000000"/>
        </w:rPr>
      </w:pPr>
      <w:r>
        <w:rPr>
          <w:color w:val="000000"/>
        </w:rPr>
        <w:t>государственными служащими центрального аппарата Росгвардии, государственными служащими, непосредственно подчиненными директору, - в Главное управление кадров Федеральной службы войск национальной гвардии Российской Федерации (далее - ГУК Росгвардии);</w:t>
      </w:r>
    </w:p>
    <w:p>
      <w:pPr>
        <w:pStyle w:val="ConsPlusNormal"/>
        <w:spacing w:before="240" w:after="0"/>
        <w:ind w:firstLine="540" w:left="0" w:right="0"/>
        <w:jc w:val="both"/>
        <w:rPr>
          <w:color w:val="000000"/>
        </w:rPr>
      </w:pPr>
      <w:r>
        <w:rPr>
          <w:color w:val="000000"/>
        </w:rPr>
        <w:t>иными государственными служащими войск национальной гвардии Российской Федерации - в кадровый орган либо должностному лицу, ответственному за работу по профилактике коррупционных и иных правонарушений (далее - кадровый орган) управления оперативно-территориального объединения войск национальной гвардии Российской Федерации, территориального органа Росгвардии, управления соединения, воинской части, подразделения, военной образовательной организации высшего образования и иной организации войск национальной гвардии Российской Федерации, в которой проходит службу государственный служащий.</w:t>
      </w:r>
    </w:p>
    <w:p>
      <w:pPr>
        <w:pStyle w:val="ConsPlusNormal"/>
        <w:spacing w:before="240" w:after="0"/>
        <w:ind w:firstLine="540" w:left="0" w:right="0"/>
        <w:jc w:val="both"/>
        <w:rPr>
          <w:color w:val="000000"/>
        </w:rPr>
      </w:pPr>
      <w:r>
        <w:rPr>
          <w:color w:val="000000"/>
        </w:rPr>
        <w:t>5. ГУК Росгвардии (кадровый орган) осуществляет прием, регистрацию и учет поступивших рапортов (заявлений), а также обеспечивает конфиденциальность и сохранность персональных данных, полученных от государственных служащих.</w:t>
      </w:r>
    </w:p>
    <w:p>
      <w:pPr>
        <w:pStyle w:val="ConsPlusNormal"/>
        <w:spacing w:before="240" w:after="0"/>
        <w:ind w:firstLine="540" w:left="0" w:right="0"/>
        <w:jc w:val="both"/>
        <w:rPr>
          <w:color w:val="000000"/>
        </w:rPr>
      </w:pPr>
      <w:r>
        <w:rPr>
          <w:color w:val="000000"/>
        </w:rPr>
        <w:t>6. Рапорт (заявление) представляется государственным служащим любым удобным способом (лично, почтовым отправлением, посредством факсимильной связи или электронной почты).</w:t>
      </w:r>
    </w:p>
    <w:p>
      <w:pPr>
        <w:pStyle w:val="ConsPlusNormal"/>
        <w:spacing w:before="240" w:after="0"/>
        <w:ind w:firstLine="540" w:left="0" w:right="0"/>
        <w:jc w:val="both"/>
        <w:rPr>
          <w:color w:val="000000"/>
        </w:rPr>
      </w:pPr>
      <w:r>
        <w:rPr>
          <w:color w:val="000000"/>
        </w:rPr>
        <w:t>7. Государственные служащие, участвующие на безвозмездной основе в управлении некоммерческими организациями, представляют рапорт (заявление) в течение 30 календарных дней со дня вступления в силу приказа, утвердившего настоящий Порядок.</w:t>
      </w:r>
    </w:p>
    <w:p>
      <w:pPr>
        <w:pStyle w:val="ConsPlusNormal"/>
        <w:spacing w:before="240" w:after="0"/>
        <w:ind w:firstLine="540" w:left="0" w:right="0"/>
        <w:jc w:val="both"/>
        <w:rPr>
          <w:color w:val="000000"/>
        </w:rPr>
      </w:pPr>
      <w:r>
        <w:rPr>
          <w:color w:val="000000"/>
        </w:rPr>
        <w:t xml:space="preserve">8. Рапорт (заявление) регистрируется в день его поступления ГУК Росгвардии (кадровым органом) в журнале учета рапортов (заявлений) государственных служащих о получении разрешения на участие на безвозмездной основе в управлении некоммерческими организациями (далее - журнал) (рекомендуемый образец приведен в </w:t>
      </w:r>
      <w:hyperlink w:anchor="Par158" w:tgtFrame="ЖУРНАЛ">
        <w:r>
          <w:rPr>
            <w:color w:val="0000FF"/>
          </w:rPr>
          <w:t>приложении N 2</w:t>
        </w:r>
      </w:hyperlink>
      <w:r>
        <w:rPr>
          <w:color w:val="000000"/>
        </w:rPr>
        <w:t xml:space="preserve"> к настоящему Порядку).</w:t>
      </w:r>
    </w:p>
    <w:p>
      <w:pPr>
        <w:pStyle w:val="ConsPlusNormal"/>
        <w:spacing w:before="240" w:after="0"/>
        <w:ind w:firstLine="540" w:left="0" w:right="0"/>
        <w:jc w:val="both"/>
        <w:rPr>
          <w:color w:val="000000"/>
        </w:rPr>
      </w:pPr>
      <w:r>
        <w:rPr>
          <w:color w:val="000000"/>
        </w:rPr>
        <w:t>Ведение журнала возлагается на уполномоченное должностное лицо ГУК Росгвардии (кадрового органа).</w:t>
      </w:r>
    </w:p>
    <w:p>
      <w:pPr>
        <w:pStyle w:val="ConsPlusNormal"/>
        <w:spacing w:before="240" w:after="0"/>
        <w:ind w:firstLine="540" w:left="0" w:right="0"/>
        <w:jc w:val="both"/>
        <w:rPr>
          <w:color w:val="000000"/>
        </w:rPr>
      </w:pPr>
      <w:r>
        <w:rPr>
          <w:color w:val="000000"/>
        </w:rPr>
        <w:t>9. ГУК Росгвардии (кадровый орган) осуществляет предварительное рассмотрение рапорта (заявления) и подготовку мотивированного заключения о возможности (невозможности) участия государственного служащего на безвозмездной основе в управлении некоммерческими организациями (далее - мотивированное заключение).</w:t>
      </w:r>
    </w:p>
    <w:p>
      <w:pPr>
        <w:pStyle w:val="ConsPlusNormal"/>
        <w:spacing w:before="240" w:after="0"/>
        <w:ind w:firstLine="540" w:left="0" w:right="0"/>
        <w:jc w:val="both"/>
        <w:rPr>
          <w:color w:val="000000"/>
        </w:rPr>
      </w:pPr>
      <w:bookmarkStart w:id="1" w:name="Par60"/>
      <w:bookmarkEnd w:id="1"/>
      <w:r>
        <w:rPr>
          <w:color w:val="000000"/>
        </w:rPr>
        <w:t>10. При подготовке мотивированного заключения должностные лица ГУК Росгвардии (кадрового органа) могут с согласия государственного служащего, представившего рапорт (заявление), проводить с ним собеседование и получать от него письменные пояснения.</w:t>
      </w:r>
    </w:p>
    <w:p>
      <w:pPr>
        <w:pStyle w:val="ConsPlusNormal"/>
        <w:spacing w:before="240" w:after="0"/>
        <w:ind w:firstLine="540" w:left="0" w:right="0"/>
        <w:jc w:val="both"/>
        <w:rPr>
          <w:color w:val="000000"/>
        </w:rPr>
      </w:pPr>
      <w:r>
        <w:rPr>
          <w:color w:val="000000"/>
        </w:rPr>
        <w:t>Для подготовки мотивированного заключения могут быть направлены запросы в государственные органы, органы местного самоуправления и заинтересованные организации в целях получения дополнительной информации.</w:t>
      </w:r>
    </w:p>
    <w:p>
      <w:pPr>
        <w:pStyle w:val="ConsPlusNormal"/>
        <w:spacing w:before="240" w:after="0"/>
        <w:ind w:firstLine="540" w:left="0" w:right="0"/>
        <w:jc w:val="both"/>
        <w:rPr>
          <w:color w:val="000000"/>
        </w:rPr>
      </w:pPr>
      <w:r>
        <w:rPr>
          <w:color w:val="000000"/>
        </w:rPr>
        <w:t>11. Государственный служащий вправе представить дополнительные материалы к рапорту (заявлению) до его рассмотрения представителем нанимателя.</w:t>
      </w:r>
    </w:p>
    <w:p>
      <w:pPr>
        <w:pStyle w:val="ConsPlusNormal"/>
        <w:spacing w:before="240" w:after="0"/>
        <w:ind w:firstLine="540" w:left="0" w:right="0"/>
        <w:jc w:val="both"/>
        <w:rPr>
          <w:color w:val="000000"/>
        </w:rPr>
      </w:pPr>
      <w:r>
        <w:rPr>
          <w:color w:val="000000"/>
        </w:rPr>
        <w:t>12. Мотивированное заключение должно содержать:</w:t>
      </w:r>
    </w:p>
    <w:p>
      <w:pPr>
        <w:pStyle w:val="ConsPlusNormal"/>
        <w:spacing w:before="240" w:after="0"/>
        <w:ind w:firstLine="540" w:left="0" w:right="0"/>
        <w:jc w:val="both"/>
        <w:rPr>
          <w:color w:val="000000"/>
        </w:rPr>
      </w:pPr>
      <w:r>
        <w:rPr>
          <w:color w:val="000000"/>
        </w:rPr>
        <w:t>12.1. Информацию, изложенную в рапорте (заявлении) государственного служащего.</w:t>
      </w:r>
    </w:p>
    <w:p>
      <w:pPr>
        <w:pStyle w:val="ConsPlusNormal"/>
        <w:spacing w:before="240" w:after="0"/>
        <w:ind w:firstLine="540" w:left="0" w:right="0"/>
        <w:jc w:val="both"/>
        <w:rPr>
          <w:color w:val="000000"/>
        </w:rPr>
      </w:pPr>
      <w:r>
        <w:rPr>
          <w:color w:val="000000"/>
        </w:rPr>
        <w:t>12.2. Заключение непосредственного начальника (руководителя) государственного служащего о наличии (отсутствии) конфликта интересов или о возможности (об отсутствии возможности) его возникновения при исполнении государственным служащим должностных (служебных) обязанностей.</w:t>
      </w:r>
    </w:p>
    <w:p>
      <w:pPr>
        <w:pStyle w:val="ConsPlusNormal"/>
        <w:spacing w:before="240" w:after="0"/>
        <w:ind w:firstLine="540" w:left="0" w:right="0"/>
        <w:jc w:val="both"/>
        <w:rPr>
          <w:color w:val="000000"/>
        </w:rPr>
      </w:pPr>
      <w:r>
        <w:rPr>
          <w:color w:val="000000"/>
        </w:rPr>
        <w:t>12.3. Информацию, полученную при собеседовании с государственным служащим и представленную им в письменном пояснении к рапорту (заявлению).</w:t>
      </w:r>
    </w:p>
    <w:p>
      <w:pPr>
        <w:pStyle w:val="ConsPlusNormal"/>
        <w:spacing w:before="240" w:after="0"/>
        <w:ind w:firstLine="540" w:left="0" w:right="0"/>
        <w:jc w:val="both"/>
        <w:rPr>
          <w:color w:val="000000"/>
        </w:rPr>
      </w:pPr>
      <w:r>
        <w:rPr>
          <w:color w:val="000000"/>
        </w:rPr>
        <w:t>12.4. Информацию, полученную от государственных органов, органов местного самоуправления и заинтересованных организаций на основании запросов, если такие запросы направлялись.</w:t>
      </w:r>
    </w:p>
    <w:p>
      <w:pPr>
        <w:pStyle w:val="ConsPlusNormal"/>
        <w:spacing w:before="240" w:after="0"/>
        <w:ind w:firstLine="540" w:left="0" w:right="0"/>
        <w:jc w:val="both"/>
        <w:rPr>
          <w:color w:val="000000"/>
        </w:rPr>
      </w:pPr>
      <w:r>
        <w:rPr>
          <w:color w:val="000000"/>
        </w:rPr>
        <w:t>12.5. Анализ должностных (служебных) обязанностей государственных служащих по осуществлению функций государственного управления в отношении некоммерческой организации.</w:t>
      </w:r>
    </w:p>
    <w:p>
      <w:pPr>
        <w:pStyle w:val="ConsPlusNormal"/>
        <w:spacing w:before="240" w:after="0"/>
        <w:ind w:firstLine="540" w:left="0" w:right="0"/>
        <w:jc w:val="both"/>
        <w:rPr>
          <w:color w:val="000000"/>
        </w:rPr>
      </w:pPr>
      <w:r>
        <w:rPr>
          <w:color w:val="000000"/>
        </w:rPr>
        <w:t>12.6. Анализ соблюдения государственным служащим запретов, ограничений и обязанностей, установленных законодательством Российской Федерации о военной службе, службе в войсках национальной гвардии Российской Федерации, государственной гражданской службе и о противодействии коррупции.</w:t>
      </w:r>
    </w:p>
    <w:p>
      <w:pPr>
        <w:pStyle w:val="ConsPlusNormal"/>
        <w:spacing w:before="240" w:after="0"/>
        <w:ind w:firstLine="540" w:left="0" w:right="0"/>
        <w:jc w:val="both"/>
        <w:rPr>
          <w:color w:val="000000"/>
        </w:rPr>
      </w:pPr>
      <w:r>
        <w:rPr>
          <w:color w:val="000000"/>
        </w:rPr>
        <w:t>12.7. Вывод по результатам предварительного рассмотрения рапорта (заявления) государственного служащего.</w:t>
      </w:r>
    </w:p>
    <w:p>
      <w:pPr>
        <w:pStyle w:val="ConsPlusNormal"/>
        <w:spacing w:before="240" w:after="0"/>
        <w:ind w:firstLine="540" w:left="0" w:right="0"/>
        <w:jc w:val="both"/>
        <w:rPr>
          <w:color w:val="000000"/>
        </w:rPr>
      </w:pPr>
      <w:r>
        <w:rPr>
          <w:color w:val="000000"/>
        </w:rPr>
        <w:t xml:space="preserve">13. Рапорт (заявление) и мотивированное заключение ГУК Росгвардии (кадровым органом) направляются представителю нанимателя для принятия решения, предусмотренного </w:t>
      </w:r>
      <w:hyperlink w:anchor="Par74" w:tgtFrame="14. По результатам рассмотрения рапорта (заявления) и мотивированного заключения представитель нанимателя принимает одно из следующих решений:">
        <w:r>
          <w:rPr>
            <w:color w:val="0000FF"/>
          </w:rPr>
          <w:t>пунктом 14</w:t>
        </w:r>
      </w:hyperlink>
      <w:r>
        <w:rPr>
          <w:color w:val="000000"/>
        </w:rPr>
        <w:t xml:space="preserve"> настоящего Порядка:</w:t>
      </w:r>
    </w:p>
    <w:p>
      <w:pPr>
        <w:pStyle w:val="ConsPlusNormal"/>
        <w:spacing w:before="240" w:after="0"/>
        <w:ind w:firstLine="540" w:left="0" w:right="0"/>
        <w:jc w:val="both"/>
        <w:rPr>
          <w:color w:val="000000"/>
        </w:rPr>
      </w:pPr>
      <w:r>
        <w:rPr>
          <w:color w:val="000000"/>
        </w:rPr>
        <w:t xml:space="preserve">в случае отсутствия необходимости направления запросов, указанных в </w:t>
      </w:r>
      <w:hyperlink w:anchor="Par60" w:tgtFrame="10. При подготовке мотивированного заключения должностные лица ГУК Росгвардии (кадрового органа) могут с согласия государственного служащего, представившего рапорт (заявление), проводить с ним собеседование и получать от него письменные пояснения.">
        <w:r>
          <w:rPr>
            <w:color w:val="0000FF"/>
          </w:rPr>
          <w:t>пункте 10</w:t>
        </w:r>
      </w:hyperlink>
      <w:r>
        <w:rPr>
          <w:color w:val="000000"/>
        </w:rPr>
        <w:t xml:space="preserve"> настоящего Порядка, - в течение 7 рабочих дней со дня, следующего за днем учета рапорта (заявления);</w:t>
      </w:r>
    </w:p>
    <w:p>
      <w:pPr>
        <w:pStyle w:val="ConsPlusNormal"/>
        <w:spacing w:before="240" w:after="0"/>
        <w:ind w:firstLine="540" w:left="0" w:right="0"/>
        <w:jc w:val="both"/>
        <w:rPr>
          <w:color w:val="000000"/>
        </w:rPr>
      </w:pPr>
      <w:r>
        <w:rPr>
          <w:color w:val="000000"/>
        </w:rPr>
        <w:t xml:space="preserve">в случае направления запросов, указанных в </w:t>
      </w:r>
      <w:hyperlink w:anchor="Par60" w:tgtFrame="10. При подготовке мотивированного заключения должностные лица ГУК Росгвардии (кадрового органа) могут с согласия государственного служащего, представившего рапорт (заявление), проводить с ним собеседование и получать от него письменные пояснения.">
        <w:r>
          <w:rPr>
            <w:color w:val="0000FF"/>
          </w:rPr>
          <w:t>пункте 10</w:t>
        </w:r>
      </w:hyperlink>
      <w:r>
        <w:rPr>
          <w:color w:val="000000"/>
        </w:rPr>
        <w:t xml:space="preserve"> настоящего Порядка, - в течение 45 календарных дней.</w:t>
      </w:r>
    </w:p>
    <w:p>
      <w:pPr>
        <w:pStyle w:val="ConsPlusNormal"/>
        <w:spacing w:before="240" w:after="0"/>
        <w:ind w:firstLine="540" w:left="0" w:right="0"/>
        <w:jc w:val="both"/>
        <w:rPr>
          <w:color w:val="000000"/>
        </w:rPr>
      </w:pPr>
      <w:bookmarkStart w:id="2" w:name="Par74"/>
      <w:bookmarkEnd w:id="2"/>
      <w:r>
        <w:rPr>
          <w:color w:val="000000"/>
        </w:rPr>
        <w:t>14. По результатам рассмотрения рапорта (заявления) и мотивированного заключения представитель нанимателя принимает одно из следующих решений:</w:t>
      </w:r>
    </w:p>
    <w:p>
      <w:pPr>
        <w:pStyle w:val="ConsPlusNormal"/>
        <w:spacing w:before="240" w:after="0"/>
        <w:ind w:firstLine="540" w:left="0" w:right="0"/>
        <w:jc w:val="both"/>
        <w:rPr>
          <w:color w:val="000000"/>
        </w:rPr>
      </w:pPr>
      <w:r>
        <w:rPr>
          <w:color w:val="000000"/>
        </w:rPr>
        <w:t>разрешить государственному служащему участие на безвозмездной основе в управлении некоммерческой организацией;</w:t>
      </w:r>
    </w:p>
    <w:p>
      <w:pPr>
        <w:pStyle w:val="ConsPlusNormal"/>
        <w:spacing w:before="240" w:after="0"/>
        <w:ind w:firstLine="540" w:left="0" w:right="0"/>
        <w:jc w:val="both"/>
        <w:rPr>
          <w:color w:val="000000"/>
        </w:rPr>
      </w:pPr>
      <w:r>
        <w:rPr>
          <w:color w:val="000000"/>
        </w:rPr>
        <w:t>отказать государственному служащему в участии на безвозмездной основе в управлении некоммерческой организацией.</w:t>
      </w:r>
    </w:p>
    <w:p>
      <w:pPr>
        <w:pStyle w:val="ConsPlusNormal"/>
        <w:spacing w:before="240" w:after="0"/>
        <w:ind w:firstLine="540" w:left="0" w:right="0"/>
        <w:jc w:val="both"/>
        <w:rPr>
          <w:color w:val="000000"/>
        </w:rPr>
      </w:pPr>
      <w:r>
        <w:rPr>
          <w:color w:val="000000"/>
        </w:rPr>
        <w:t xml:space="preserve">15. Основанием для принятия решения, предусмотренного подпунктом "б" </w:t>
      </w:r>
      <w:hyperlink w:anchor="Par74" w:tgtFrame="14. По результатам рассмотрения рапорта (заявления) и мотивированного заключения представитель нанимателя принимает одно из следующих решений:">
        <w:r>
          <w:rPr>
            <w:color w:val="0000FF"/>
          </w:rPr>
          <w:t>пункта 14</w:t>
        </w:r>
      </w:hyperlink>
      <w:r>
        <w:rPr>
          <w:color w:val="000000"/>
        </w:rPr>
        <w:t xml:space="preserve"> настоящего Порядка, является осуществление государственным служащим функций государственного управления в отношении некоммерческой организации и (или) несоблюдение (возможность несоблюдения) запретов, ограничений и обязанностей, установленных законодательством Российской Федерации о военной службе, службе в войсках национальной гвардии Российской Федерации, государственной гражданской службе и о противодействии коррупции.</w:t>
      </w:r>
    </w:p>
    <w:p>
      <w:pPr>
        <w:pStyle w:val="ConsPlusNormal"/>
        <w:spacing w:before="240" w:after="0"/>
        <w:ind w:firstLine="540" w:left="0" w:right="0"/>
        <w:jc w:val="both"/>
        <w:rPr>
          <w:color w:val="000000"/>
        </w:rPr>
      </w:pPr>
      <w:r>
        <w:rPr>
          <w:color w:val="000000"/>
        </w:rPr>
        <w:t>16. ГУК Росгвардии (кадровый орган) в течение трех рабочих дней со дня принятия представителем нанимателя указанного решения уведомляет в письменном виде государственного служащего о принятом решении.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 N 1</w:t>
      </w:r>
    </w:p>
    <w:p>
      <w:pPr>
        <w:pStyle w:val="ConsPlusNormal"/>
        <w:ind w:hanging="0" w:left="0" w:right="0"/>
        <w:jc w:val="right"/>
        <w:rPr>
          <w:color w:val="000000"/>
        </w:rPr>
      </w:pPr>
      <w:r>
        <w:rPr>
          <w:color w:val="000000"/>
        </w:rPr>
        <w:t>к Порядку получения федеральными</w:t>
      </w:r>
    </w:p>
    <w:p>
      <w:pPr>
        <w:pStyle w:val="ConsPlusNormal"/>
        <w:ind w:hanging="0" w:left="0" w:right="0"/>
        <w:jc w:val="right"/>
        <w:rPr>
          <w:color w:val="000000"/>
        </w:rPr>
      </w:pPr>
      <w:r>
        <w:rPr>
          <w:color w:val="000000"/>
        </w:rPr>
        <w:t>государственными служащими войск</w:t>
      </w:r>
    </w:p>
    <w:p>
      <w:pPr>
        <w:pStyle w:val="ConsPlusNormal"/>
        <w:ind w:hanging="0" w:left="0" w:right="0"/>
        <w:jc w:val="right"/>
        <w:rPr>
          <w:color w:val="000000"/>
        </w:rPr>
      </w:pPr>
      <w:r>
        <w:rPr>
          <w:color w:val="000000"/>
        </w:rPr>
        <w:t>национальной гвардии Российской</w:t>
      </w:r>
    </w:p>
    <w:p>
      <w:pPr>
        <w:pStyle w:val="ConsPlusNormal"/>
        <w:ind w:hanging="0" w:left="0" w:right="0"/>
        <w:jc w:val="right"/>
        <w:rPr>
          <w:color w:val="000000"/>
        </w:rPr>
      </w:pPr>
      <w:r>
        <w:rPr>
          <w:color w:val="000000"/>
        </w:rPr>
        <w:t>Федерации разрешения представителя</w:t>
      </w:r>
    </w:p>
    <w:p>
      <w:pPr>
        <w:pStyle w:val="ConsPlusNormal"/>
        <w:ind w:hanging="0" w:left="0" w:right="0"/>
        <w:jc w:val="right"/>
        <w:rPr>
          <w:color w:val="000000"/>
        </w:rPr>
      </w:pPr>
      <w:r>
        <w:rPr>
          <w:color w:val="000000"/>
        </w:rPr>
        <w:t>нанимателя на участие на безвозмездной</w:t>
      </w:r>
    </w:p>
    <w:p>
      <w:pPr>
        <w:pStyle w:val="ConsPlusNormal"/>
        <w:ind w:hanging="0" w:left="0" w:right="0"/>
        <w:jc w:val="right"/>
        <w:rPr>
          <w:color w:val="000000"/>
        </w:rPr>
      </w:pPr>
      <w:r>
        <w:rPr>
          <w:color w:val="000000"/>
        </w:rPr>
        <w:t>основе в управлении некоммерческими</w:t>
      </w:r>
    </w:p>
    <w:p>
      <w:pPr>
        <w:pStyle w:val="ConsPlusNormal"/>
        <w:ind w:hanging="0" w:left="0" w:right="0"/>
        <w:jc w:val="right"/>
        <w:rPr>
          <w:color w:val="000000"/>
        </w:rPr>
      </w:pPr>
      <w:r>
        <w:rPr>
          <w:color w:val="000000"/>
        </w:rPr>
        <w:t>организациями, утвержденному</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258</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Рекомендуемый образец</w:t>
      </w:r>
    </w:p>
    <w:p>
      <w:pPr>
        <w:pStyle w:val="ConsPlusNormal"/>
        <w:ind w:hanging="0" w:left="0" w:right="0"/>
        <w:jc w:val="both"/>
        <w:rPr>
          <w:color w:val="000000"/>
        </w:rPr>
      </w:pPr>
      <w:r>
        <w:rPr>
          <w:color w:val="000000"/>
        </w:rPr>
      </w:r>
    </w:p>
    <w:tbl>
      <w:tblPr>
        <w:tblW w:w="9069" w:type="dxa"/>
        <w:jc w:val="left"/>
        <w:tblInd w:w="0" w:type="dxa"/>
        <w:tblLayout w:type="fixed"/>
        <w:tblCellMar>
          <w:top w:w="102" w:type="dxa"/>
          <w:left w:w="62" w:type="dxa"/>
          <w:bottom w:w="102" w:type="dxa"/>
          <w:right w:w="62" w:type="dxa"/>
        </w:tblCellMar>
      </w:tblPr>
      <w:tblGrid>
        <w:gridCol w:w="4535"/>
        <w:gridCol w:w="4533"/>
      </w:tblGrid>
      <w:tr>
        <w:trPr/>
        <w:tc>
          <w:tcPr>
            <w:tcW w:w="4535" w:type="dxa"/>
            <w:tcBorders/>
          </w:tcPr>
          <w:p>
            <w:pPr>
              <w:pStyle w:val="ConsPlusNormal"/>
              <w:tabs>
                <w:tab w:val="clear" w:pos="720"/>
              </w:tabs>
              <w:ind w:hanging="0" w:left="0" w:right="0"/>
              <w:jc w:val="left"/>
              <w:rPr>
                <w:color w:val="000000"/>
              </w:rPr>
            </w:pPr>
            <w:r>
              <w:rPr>
                <w:color w:val="000000"/>
              </w:rPr>
            </w:r>
          </w:p>
        </w:tc>
        <w:tc>
          <w:tcPr>
            <w:tcW w:w="4533"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4535" w:type="dxa"/>
            <w:tcBorders/>
          </w:tcPr>
          <w:p>
            <w:pPr>
              <w:pStyle w:val="ConsPlusNormal"/>
              <w:tabs>
                <w:tab w:val="clear" w:pos="720"/>
              </w:tabs>
              <w:ind w:hanging="0" w:left="0" w:right="0"/>
              <w:jc w:val="left"/>
              <w:rPr>
                <w:color w:val="000000"/>
              </w:rPr>
            </w:pPr>
            <w:r>
              <w:rPr>
                <w:color w:val="000000"/>
              </w:rPr>
            </w:r>
          </w:p>
        </w:tc>
        <w:tc>
          <w:tcPr>
            <w:tcW w:w="4533" w:type="dxa"/>
            <w:tcBorders>
              <w:top w:val="single" w:sz="4" w:space="0" w:color="000000"/>
            </w:tcBorders>
            <w:vAlign w:val="bottom"/>
          </w:tcPr>
          <w:p>
            <w:pPr>
              <w:pStyle w:val="ConsPlusNormal"/>
              <w:tabs>
                <w:tab w:val="clear" w:pos="720"/>
              </w:tabs>
              <w:ind w:hanging="0" w:left="0" w:right="0"/>
              <w:jc w:val="center"/>
              <w:rPr/>
            </w:pPr>
            <w:r>
              <w:rPr>
                <w:color w:val="000000"/>
              </w:rPr>
              <w:t>(должность, инициалы и фамилия представителя нанимателя)</w:t>
            </w:r>
          </w:p>
        </w:tc>
      </w:tr>
      <w:tr>
        <w:trPr/>
        <w:tc>
          <w:tcPr>
            <w:tcW w:w="4535" w:type="dxa"/>
            <w:tcBorders/>
          </w:tcPr>
          <w:p>
            <w:pPr>
              <w:pStyle w:val="ConsPlusNormal"/>
              <w:tabs>
                <w:tab w:val="clear" w:pos="720"/>
              </w:tabs>
              <w:ind w:hanging="0" w:left="0" w:right="0"/>
              <w:jc w:val="left"/>
              <w:rPr>
                <w:color w:val="000000"/>
              </w:rPr>
            </w:pPr>
            <w:r>
              <w:rPr>
                <w:color w:val="000000"/>
              </w:rPr>
            </w:r>
          </w:p>
        </w:tc>
        <w:tc>
          <w:tcPr>
            <w:tcW w:w="4533"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4535" w:type="dxa"/>
            <w:tcBorders/>
          </w:tcPr>
          <w:p>
            <w:pPr>
              <w:pStyle w:val="ConsPlusNormal"/>
              <w:tabs>
                <w:tab w:val="clear" w:pos="720"/>
              </w:tabs>
              <w:ind w:hanging="0" w:left="0" w:right="0"/>
              <w:jc w:val="left"/>
              <w:rPr>
                <w:color w:val="000000"/>
              </w:rPr>
            </w:pPr>
            <w:r>
              <w:rPr>
                <w:color w:val="000000"/>
              </w:rPr>
            </w:r>
          </w:p>
        </w:tc>
        <w:tc>
          <w:tcPr>
            <w:tcW w:w="4533" w:type="dxa"/>
            <w:tcBorders>
              <w:top w:val="single" w:sz="4" w:space="0" w:color="000000"/>
            </w:tcBorders>
            <w:vAlign w:val="bottom"/>
          </w:tcPr>
          <w:p>
            <w:pPr>
              <w:pStyle w:val="ConsPlusNormal"/>
              <w:tabs>
                <w:tab w:val="clear" w:pos="720"/>
              </w:tabs>
              <w:ind w:hanging="0" w:left="0" w:right="0"/>
              <w:jc w:val="center"/>
              <w:rPr/>
            </w:pPr>
            <w:r>
              <w:rPr>
                <w:color w:val="000000"/>
              </w:rPr>
              <w:t>(должность, инициалы и фамилия государственного служащего, представившего рапорт (заявление)</w:t>
            </w:r>
          </w:p>
        </w:tc>
      </w:tr>
    </w:tbl>
    <w:p>
      <w:pPr>
        <w:pStyle w:val="ConsPlusNormal"/>
        <w:ind w:hanging="0" w:left="0" w:right="0"/>
        <w:jc w:val="both"/>
        <w:rPr>
          <w:color w:val="000000"/>
        </w:rPr>
      </w:pPr>
      <w:r>
        <w:rPr>
          <w:color w:val="000000"/>
        </w:rPr>
      </w:r>
    </w:p>
    <w:tbl>
      <w:tblPr>
        <w:tblW w:w="9071" w:type="dxa"/>
        <w:jc w:val="left"/>
        <w:tblInd w:w="0" w:type="dxa"/>
        <w:tblLayout w:type="fixed"/>
        <w:tblCellMar>
          <w:top w:w="102" w:type="dxa"/>
          <w:left w:w="62" w:type="dxa"/>
          <w:bottom w:w="102" w:type="dxa"/>
          <w:right w:w="62" w:type="dxa"/>
        </w:tblCellMar>
      </w:tblPr>
      <w:tblGrid>
        <w:gridCol w:w="9071"/>
      </w:tblGrid>
      <w:tr>
        <w:trPr/>
        <w:tc>
          <w:tcPr>
            <w:tcW w:w="9071" w:type="dxa"/>
            <w:tcBorders/>
          </w:tcPr>
          <w:p>
            <w:pPr>
              <w:pStyle w:val="ConsPlusNormal"/>
              <w:tabs>
                <w:tab w:val="clear" w:pos="720"/>
              </w:tabs>
              <w:ind w:hanging="0" w:left="0" w:right="0"/>
              <w:jc w:val="center"/>
              <w:rPr>
                <w:color w:val="000000"/>
              </w:rPr>
            </w:pPr>
            <w:bookmarkStart w:id="3" w:name="Par108"/>
            <w:bookmarkEnd w:id="3"/>
            <w:r>
              <w:rPr>
                <w:color w:val="000000"/>
              </w:rPr>
              <w:t>Рапорт (заявление)</w:t>
            </w:r>
          </w:p>
          <w:p>
            <w:pPr>
              <w:pStyle w:val="ConsPlusNormal"/>
              <w:tabs>
                <w:tab w:val="clear" w:pos="720"/>
              </w:tabs>
              <w:ind w:hanging="0" w:left="0" w:right="0"/>
              <w:jc w:val="center"/>
              <w:rPr/>
            </w:pPr>
            <w:r>
              <w:rPr>
                <w:color w:val="000000"/>
              </w:rPr>
              <w:t>о получении разрешения на участие на безвозмездной основе в управлении некоммерческими организациями</w:t>
            </w:r>
          </w:p>
        </w:tc>
      </w:tr>
    </w:tbl>
    <w:p>
      <w:pPr>
        <w:pStyle w:val="ConsPlusNormal"/>
        <w:ind w:hanging="0" w:left="0" w:right="0"/>
        <w:jc w:val="both"/>
        <w:rPr>
          <w:color w:val="000000"/>
        </w:rPr>
      </w:pPr>
      <w:r>
        <w:rPr>
          <w:color w:val="000000"/>
        </w:rPr>
      </w:r>
    </w:p>
    <w:tbl>
      <w:tblPr>
        <w:tblW w:w="9070" w:type="dxa"/>
        <w:jc w:val="left"/>
        <w:tblInd w:w="0" w:type="dxa"/>
        <w:tblLayout w:type="fixed"/>
        <w:tblCellMar>
          <w:top w:w="102" w:type="dxa"/>
          <w:left w:w="62" w:type="dxa"/>
          <w:bottom w:w="102" w:type="dxa"/>
          <w:right w:w="62" w:type="dxa"/>
        </w:tblCellMar>
      </w:tblPr>
      <w:tblGrid>
        <w:gridCol w:w="4824"/>
        <w:gridCol w:w="4245"/>
      </w:tblGrid>
      <w:tr>
        <w:trPr/>
        <w:tc>
          <w:tcPr>
            <w:tcW w:w="4824" w:type="dxa"/>
            <w:tcBorders/>
          </w:tcPr>
          <w:p>
            <w:pPr>
              <w:pStyle w:val="ConsPlusNormal"/>
              <w:tabs>
                <w:tab w:val="clear" w:pos="720"/>
              </w:tabs>
              <w:ind w:firstLine="283" w:left="0" w:right="0"/>
              <w:jc w:val="both"/>
              <w:rPr/>
            </w:pPr>
            <w:r>
              <w:rPr>
                <w:color w:val="000000"/>
              </w:rPr>
              <w:t>Прошу разрешить участие в управлении</w:t>
            </w:r>
          </w:p>
        </w:tc>
        <w:tc>
          <w:tcPr>
            <w:tcW w:w="4245"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4824" w:type="dxa"/>
            <w:tcBorders/>
          </w:tcPr>
          <w:p>
            <w:pPr>
              <w:pStyle w:val="ConsPlusNormal"/>
              <w:tabs>
                <w:tab w:val="clear" w:pos="720"/>
              </w:tabs>
              <w:ind w:hanging="0" w:left="0" w:right="0"/>
              <w:jc w:val="left"/>
              <w:rPr>
                <w:color w:val="000000"/>
              </w:rPr>
            </w:pPr>
            <w:r>
              <w:rPr>
                <w:color w:val="000000"/>
              </w:rPr>
            </w:r>
          </w:p>
        </w:tc>
        <w:tc>
          <w:tcPr>
            <w:tcW w:w="4245" w:type="dxa"/>
            <w:tcBorders>
              <w:top w:val="single" w:sz="4" w:space="0" w:color="000000"/>
            </w:tcBorders>
          </w:tcPr>
          <w:p>
            <w:pPr>
              <w:pStyle w:val="ConsPlusNormal"/>
              <w:tabs>
                <w:tab w:val="clear" w:pos="720"/>
              </w:tabs>
              <w:ind w:hanging="0" w:left="0" w:right="0"/>
              <w:jc w:val="center"/>
              <w:rPr/>
            </w:pPr>
            <w:r>
              <w:rPr>
                <w:color w:val="000000"/>
              </w:rPr>
              <w:t>(полное наименование</w:t>
            </w:r>
          </w:p>
        </w:tc>
      </w:tr>
      <w:tr>
        <w:trPr/>
        <w:tc>
          <w:tcPr>
            <w:tcW w:w="9069" w:type="dxa"/>
            <w:gridSpan w:val="2"/>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9069" w:type="dxa"/>
            <w:gridSpan w:val="2"/>
            <w:tcBorders>
              <w:top w:val="single" w:sz="4" w:space="0" w:color="000000"/>
            </w:tcBorders>
          </w:tcPr>
          <w:p>
            <w:pPr>
              <w:pStyle w:val="ConsPlusNormal"/>
              <w:tabs>
                <w:tab w:val="clear" w:pos="720"/>
              </w:tabs>
              <w:ind w:hanging="0" w:left="0" w:right="0"/>
              <w:jc w:val="center"/>
              <w:rPr/>
            </w:pPr>
            <w:r>
              <w:rPr>
                <w:color w:val="000000"/>
              </w:rPr>
              <w:t>некоммерческой организации, адрес регистрации, ОГРН, ИНН, КПП)</w:t>
            </w:r>
          </w:p>
        </w:tc>
      </w:tr>
    </w:tbl>
    <w:p>
      <w:pPr>
        <w:pStyle w:val="ConsPlusNormal"/>
        <w:ind w:hanging="0" w:left="0" w:right="0"/>
        <w:jc w:val="both"/>
        <w:rPr>
          <w:color w:val="000000"/>
        </w:rPr>
      </w:pPr>
      <w:r>
        <w:rPr>
          <w:color w:val="000000"/>
        </w:rPr>
      </w:r>
    </w:p>
    <w:tbl>
      <w:tblPr>
        <w:tblW w:w="9070" w:type="dxa"/>
        <w:jc w:val="left"/>
        <w:tblInd w:w="0" w:type="dxa"/>
        <w:tblLayout w:type="fixed"/>
        <w:tblCellMar>
          <w:top w:w="102" w:type="dxa"/>
          <w:left w:w="62" w:type="dxa"/>
          <w:bottom w:w="102" w:type="dxa"/>
          <w:right w:w="62" w:type="dxa"/>
        </w:tblCellMar>
      </w:tblPr>
      <w:tblGrid>
        <w:gridCol w:w="4365"/>
        <w:gridCol w:w="338"/>
        <w:gridCol w:w="4367"/>
      </w:tblGrid>
      <w:tr>
        <w:trPr/>
        <w:tc>
          <w:tcPr>
            <w:tcW w:w="4365" w:type="dxa"/>
            <w:tcBorders>
              <w:bottom w:val="single" w:sz="4" w:space="0" w:color="000000"/>
            </w:tcBorders>
          </w:tcPr>
          <w:p>
            <w:pPr>
              <w:pStyle w:val="ConsPlusNormal"/>
              <w:tabs>
                <w:tab w:val="clear" w:pos="720"/>
              </w:tabs>
              <w:ind w:hanging="0" w:left="0" w:right="0"/>
              <w:jc w:val="left"/>
              <w:rPr>
                <w:color w:val="000000"/>
              </w:rPr>
            </w:pPr>
            <w:r>
              <w:rPr>
                <w:color w:val="000000"/>
              </w:rPr>
            </w:r>
          </w:p>
        </w:tc>
        <w:tc>
          <w:tcPr>
            <w:tcW w:w="338" w:type="dxa"/>
            <w:tcBorders/>
          </w:tcPr>
          <w:p>
            <w:pPr>
              <w:pStyle w:val="ConsPlusNormal"/>
              <w:tabs>
                <w:tab w:val="clear" w:pos="720"/>
              </w:tabs>
              <w:ind w:hanging="0" w:left="0" w:right="0"/>
              <w:jc w:val="left"/>
              <w:rPr>
                <w:color w:val="000000"/>
              </w:rPr>
            </w:pPr>
            <w:r>
              <w:rPr>
                <w:color w:val="000000"/>
              </w:rPr>
            </w:r>
          </w:p>
        </w:tc>
        <w:tc>
          <w:tcPr>
            <w:tcW w:w="4367"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4365" w:type="dxa"/>
            <w:tcBorders>
              <w:top w:val="single" w:sz="4" w:space="0" w:color="000000"/>
            </w:tcBorders>
          </w:tcPr>
          <w:p>
            <w:pPr>
              <w:pStyle w:val="ConsPlusNormal"/>
              <w:tabs>
                <w:tab w:val="clear" w:pos="720"/>
              </w:tabs>
              <w:ind w:hanging="0" w:left="0" w:right="0"/>
              <w:jc w:val="center"/>
              <w:rPr/>
            </w:pPr>
            <w:r>
              <w:rPr>
                <w:color w:val="000000"/>
              </w:rPr>
              <w:t>(подпись государственного служащего, представившего рапорт (заявление)</w:t>
            </w:r>
          </w:p>
        </w:tc>
        <w:tc>
          <w:tcPr>
            <w:tcW w:w="338" w:type="dxa"/>
            <w:tcBorders/>
          </w:tcPr>
          <w:p>
            <w:pPr>
              <w:pStyle w:val="ConsPlusNormal"/>
              <w:tabs>
                <w:tab w:val="clear" w:pos="720"/>
              </w:tabs>
              <w:ind w:hanging="0" w:left="0" w:right="0"/>
              <w:jc w:val="left"/>
              <w:rPr>
                <w:color w:val="000000"/>
              </w:rPr>
            </w:pPr>
            <w:r>
              <w:rPr>
                <w:color w:val="000000"/>
              </w:rPr>
            </w:r>
          </w:p>
        </w:tc>
        <w:tc>
          <w:tcPr>
            <w:tcW w:w="4367" w:type="dxa"/>
            <w:tcBorders>
              <w:top w:val="single" w:sz="4" w:space="0" w:color="000000"/>
            </w:tcBorders>
          </w:tcPr>
          <w:p>
            <w:pPr>
              <w:pStyle w:val="ConsPlusNormal"/>
              <w:tabs>
                <w:tab w:val="clear" w:pos="720"/>
              </w:tabs>
              <w:ind w:hanging="0" w:left="0" w:right="0"/>
              <w:jc w:val="center"/>
              <w:rPr/>
            </w:pPr>
            <w:r>
              <w:rPr>
                <w:color w:val="000000"/>
              </w:rPr>
              <w:t>(расшифровка подписи)</w:t>
            </w:r>
          </w:p>
        </w:tc>
      </w:tr>
    </w:tbl>
    <w:p>
      <w:pPr>
        <w:pStyle w:val="ConsPlusNormal"/>
        <w:ind w:hanging="0" w:left="0" w:right="0"/>
        <w:jc w:val="both"/>
        <w:rPr>
          <w:color w:val="000000"/>
        </w:rPr>
      </w:pPr>
      <w:r>
        <w:rPr>
          <w:color w:val="000000"/>
        </w:rPr>
      </w:r>
    </w:p>
    <w:tbl>
      <w:tblPr>
        <w:tblW w:w="4365" w:type="dxa"/>
        <w:jc w:val="left"/>
        <w:tblInd w:w="0" w:type="dxa"/>
        <w:tblLayout w:type="fixed"/>
        <w:tblCellMar>
          <w:top w:w="102" w:type="dxa"/>
          <w:left w:w="62" w:type="dxa"/>
          <w:bottom w:w="102" w:type="dxa"/>
          <w:right w:w="62" w:type="dxa"/>
        </w:tblCellMar>
      </w:tblPr>
      <w:tblGrid>
        <w:gridCol w:w="4365"/>
      </w:tblGrid>
      <w:tr>
        <w:trPr/>
        <w:tc>
          <w:tcPr>
            <w:tcW w:w="4365" w:type="dxa"/>
            <w:tcBorders/>
          </w:tcPr>
          <w:p>
            <w:pPr>
              <w:pStyle w:val="ConsPlusNormal"/>
              <w:tabs>
                <w:tab w:val="clear" w:pos="720"/>
              </w:tabs>
              <w:ind w:hanging="0" w:left="0" w:right="0"/>
              <w:jc w:val="left"/>
              <w:rPr/>
            </w:pPr>
            <w:r>
              <w:rPr>
                <w:color w:val="000000"/>
              </w:rPr>
              <w:t>"__" ___________ 20__ г.</w:t>
            </w:r>
          </w:p>
        </w:tc>
      </w:tr>
    </w:tbl>
    <w:p>
      <w:pPr>
        <w:pStyle w:val="ConsPlusNormal"/>
        <w:ind w:hanging="0" w:left="0" w:right="0"/>
        <w:jc w:val="both"/>
        <w:rPr>
          <w:color w:val="000000"/>
        </w:rPr>
      </w:pPr>
      <w:r>
        <w:rPr>
          <w:color w:val="000000"/>
        </w:rPr>
      </w:r>
    </w:p>
    <w:tbl>
      <w:tblPr>
        <w:tblW w:w="9070" w:type="dxa"/>
        <w:jc w:val="left"/>
        <w:tblInd w:w="0" w:type="dxa"/>
        <w:tblLayout w:type="fixed"/>
        <w:tblCellMar>
          <w:top w:w="102" w:type="dxa"/>
          <w:left w:w="62" w:type="dxa"/>
          <w:bottom w:w="102" w:type="dxa"/>
          <w:right w:w="62" w:type="dxa"/>
        </w:tblCellMar>
      </w:tblPr>
      <w:tblGrid>
        <w:gridCol w:w="9070"/>
      </w:tblGrid>
      <w:tr>
        <w:trPr/>
        <w:tc>
          <w:tcPr>
            <w:tcW w:w="9070"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9070" w:type="dxa"/>
            <w:tcBorders>
              <w:top w:val="single" w:sz="4" w:space="0" w:color="000000"/>
            </w:tcBorders>
          </w:tcPr>
          <w:p>
            <w:pPr>
              <w:pStyle w:val="ConsPlusNormal"/>
              <w:tabs>
                <w:tab w:val="clear" w:pos="720"/>
              </w:tabs>
              <w:ind w:hanging="0" w:left="0" w:right="0"/>
              <w:jc w:val="center"/>
              <w:rPr/>
            </w:pPr>
            <w:r>
              <w:rPr>
                <w:color w:val="000000"/>
              </w:rPr>
              <w:t>(заключение непосредственного начальника (руководителя) государственного служащего о наличии (отсутствии) конфликта интересов или о возможности (об отсутствии возможности) его возникновения при исполнении государственным служащим должностных (служебных) обязанностей)</w:t>
            </w:r>
          </w:p>
        </w:tc>
      </w:tr>
    </w:tbl>
    <w:p>
      <w:pPr>
        <w:pStyle w:val="ConsPlusNormal"/>
        <w:ind w:hanging="0" w:left="0" w:right="0"/>
        <w:jc w:val="both"/>
        <w:rPr>
          <w:color w:val="000000"/>
        </w:rPr>
      </w:pPr>
      <w:r>
        <w:rPr>
          <w:color w:val="000000"/>
        </w:rPr>
      </w:r>
    </w:p>
    <w:tbl>
      <w:tblPr>
        <w:tblW w:w="9070" w:type="dxa"/>
        <w:jc w:val="left"/>
        <w:tblInd w:w="0" w:type="dxa"/>
        <w:tblLayout w:type="fixed"/>
        <w:tblCellMar>
          <w:top w:w="102" w:type="dxa"/>
          <w:left w:w="62" w:type="dxa"/>
          <w:bottom w:w="102" w:type="dxa"/>
          <w:right w:w="62" w:type="dxa"/>
        </w:tblCellMar>
      </w:tblPr>
      <w:tblGrid>
        <w:gridCol w:w="4365"/>
        <w:gridCol w:w="338"/>
        <w:gridCol w:w="4367"/>
      </w:tblGrid>
      <w:tr>
        <w:trPr/>
        <w:tc>
          <w:tcPr>
            <w:tcW w:w="4365" w:type="dxa"/>
            <w:tcBorders>
              <w:bottom w:val="single" w:sz="4" w:space="0" w:color="000000"/>
            </w:tcBorders>
          </w:tcPr>
          <w:p>
            <w:pPr>
              <w:pStyle w:val="ConsPlusNormal"/>
              <w:tabs>
                <w:tab w:val="clear" w:pos="720"/>
              </w:tabs>
              <w:ind w:hanging="0" w:left="0" w:right="0"/>
              <w:jc w:val="left"/>
              <w:rPr>
                <w:color w:val="000000"/>
              </w:rPr>
            </w:pPr>
            <w:r>
              <w:rPr>
                <w:color w:val="000000"/>
              </w:rPr>
            </w:r>
          </w:p>
        </w:tc>
        <w:tc>
          <w:tcPr>
            <w:tcW w:w="338" w:type="dxa"/>
            <w:tcBorders/>
          </w:tcPr>
          <w:p>
            <w:pPr>
              <w:pStyle w:val="ConsPlusNormal"/>
              <w:tabs>
                <w:tab w:val="clear" w:pos="720"/>
              </w:tabs>
              <w:ind w:hanging="0" w:left="0" w:right="0"/>
              <w:jc w:val="left"/>
              <w:rPr>
                <w:color w:val="000000"/>
              </w:rPr>
            </w:pPr>
            <w:r>
              <w:rPr>
                <w:color w:val="000000"/>
              </w:rPr>
            </w:r>
          </w:p>
        </w:tc>
        <w:tc>
          <w:tcPr>
            <w:tcW w:w="4367" w:type="dxa"/>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4365" w:type="dxa"/>
            <w:tcBorders>
              <w:top w:val="single" w:sz="4" w:space="0" w:color="000000"/>
            </w:tcBorders>
          </w:tcPr>
          <w:p>
            <w:pPr>
              <w:pStyle w:val="ConsPlusNormal"/>
              <w:tabs>
                <w:tab w:val="clear" w:pos="720"/>
              </w:tabs>
              <w:ind w:hanging="0" w:left="0" w:right="0"/>
              <w:jc w:val="center"/>
              <w:rPr/>
            </w:pPr>
            <w:r>
              <w:rPr>
                <w:color w:val="000000"/>
              </w:rPr>
              <w:t>(должность, воинское (специальное) звание, подпись непосредственного начальника (руководителя) государственного служащего, представившего рапорт (заявление)</w:t>
            </w:r>
          </w:p>
        </w:tc>
        <w:tc>
          <w:tcPr>
            <w:tcW w:w="338" w:type="dxa"/>
            <w:tcBorders/>
          </w:tcPr>
          <w:p>
            <w:pPr>
              <w:pStyle w:val="ConsPlusNormal"/>
              <w:tabs>
                <w:tab w:val="clear" w:pos="720"/>
              </w:tabs>
              <w:ind w:hanging="0" w:left="0" w:right="0"/>
              <w:jc w:val="left"/>
              <w:rPr>
                <w:color w:val="000000"/>
              </w:rPr>
            </w:pPr>
            <w:r>
              <w:rPr>
                <w:color w:val="000000"/>
              </w:rPr>
            </w:r>
          </w:p>
        </w:tc>
        <w:tc>
          <w:tcPr>
            <w:tcW w:w="4367" w:type="dxa"/>
            <w:tcBorders>
              <w:top w:val="single" w:sz="4" w:space="0" w:color="000000"/>
            </w:tcBorders>
          </w:tcPr>
          <w:p>
            <w:pPr>
              <w:pStyle w:val="ConsPlusNormal"/>
              <w:tabs>
                <w:tab w:val="clear" w:pos="720"/>
              </w:tabs>
              <w:ind w:hanging="0" w:left="0" w:right="0"/>
              <w:jc w:val="center"/>
              <w:rPr/>
            </w:pPr>
            <w:r>
              <w:rPr>
                <w:color w:val="000000"/>
              </w:rPr>
              <w:t>(расшифровка подписи)</w:t>
            </w:r>
          </w:p>
        </w:tc>
      </w:tr>
    </w:tbl>
    <w:p>
      <w:pPr>
        <w:pStyle w:val="ConsPlusNormal"/>
        <w:ind w:hanging="0" w:left="0" w:right="0"/>
        <w:jc w:val="both"/>
        <w:rPr>
          <w:color w:val="000000"/>
        </w:rPr>
      </w:pPr>
      <w:r>
        <w:rPr>
          <w:color w:val="000000"/>
        </w:rPr>
      </w:r>
    </w:p>
    <w:tbl>
      <w:tblPr>
        <w:tblW w:w="4365" w:type="dxa"/>
        <w:jc w:val="left"/>
        <w:tblInd w:w="0" w:type="dxa"/>
        <w:tblLayout w:type="fixed"/>
        <w:tblCellMar>
          <w:top w:w="102" w:type="dxa"/>
          <w:left w:w="62" w:type="dxa"/>
          <w:bottom w:w="102" w:type="dxa"/>
          <w:right w:w="62" w:type="dxa"/>
        </w:tblCellMar>
      </w:tblPr>
      <w:tblGrid>
        <w:gridCol w:w="4365"/>
      </w:tblGrid>
      <w:tr>
        <w:trPr/>
        <w:tc>
          <w:tcPr>
            <w:tcW w:w="4365" w:type="dxa"/>
            <w:tcBorders/>
          </w:tcPr>
          <w:p>
            <w:pPr>
              <w:pStyle w:val="ConsPlusNormal"/>
              <w:tabs>
                <w:tab w:val="clear" w:pos="720"/>
              </w:tabs>
              <w:ind w:hanging="0" w:left="0" w:right="0"/>
              <w:jc w:val="left"/>
              <w:rPr/>
            </w:pPr>
            <w:r>
              <w:rPr>
                <w:color w:val="000000"/>
              </w:rPr>
              <w:t>"__" ___________ 20__ г.</w:t>
            </w:r>
          </w:p>
        </w:tc>
      </w:tr>
    </w:tbl>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 N 2</w:t>
      </w:r>
    </w:p>
    <w:p>
      <w:pPr>
        <w:pStyle w:val="ConsPlusNormal"/>
        <w:ind w:hanging="0" w:left="0" w:right="0"/>
        <w:jc w:val="right"/>
        <w:rPr>
          <w:color w:val="000000"/>
        </w:rPr>
      </w:pPr>
      <w:r>
        <w:rPr>
          <w:color w:val="000000"/>
        </w:rPr>
        <w:t>к Порядку получения федеральными</w:t>
      </w:r>
    </w:p>
    <w:p>
      <w:pPr>
        <w:pStyle w:val="ConsPlusNormal"/>
        <w:ind w:hanging="0" w:left="0" w:right="0"/>
        <w:jc w:val="right"/>
        <w:rPr>
          <w:color w:val="000000"/>
        </w:rPr>
      </w:pPr>
      <w:r>
        <w:rPr>
          <w:color w:val="000000"/>
        </w:rPr>
        <w:t>государственными служащими войск</w:t>
      </w:r>
    </w:p>
    <w:p>
      <w:pPr>
        <w:pStyle w:val="ConsPlusNormal"/>
        <w:ind w:hanging="0" w:left="0" w:right="0"/>
        <w:jc w:val="right"/>
        <w:rPr>
          <w:color w:val="000000"/>
        </w:rPr>
      </w:pPr>
      <w:r>
        <w:rPr>
          <w:color w:val="000000"/>
        </w:rPr>
        <w:t>национальной гвардии Российской</w:t>
      </w:r>
    </w:p>
    <w:p>
      <w:pPr>
        <w:pStyle w:val="ConsPlusNormal"/>
        <w:ind w:hanging="0" w:left="0" w:right="0"/>
        <w:jc w:val="right"/>
        <w:rPr>
          <w:color w:val="000000"/>
        </w:rPr>
      </w:pPr>
      <w:r>
        <w:rPr>
          <w:color w:val="000000"/>
        </w:rPr>
        <w:t>Федерации разрешения представителя</w:t>
      </w:r>
    </w:p>
    <w:p>
      <w:pPr>
        <w:pStyle w:val="ConsPlusNormal"/>
        <w:ind w:hanging="0" w:left="0" w:right="0"/>
        <w:jc w:val="right"/>
        <w:rPr>
          <w:color w:val="000000"/>
        </w:rPr>
      </w:pPr>
      <w:r>
        <w:rPr>
          <w:color w:val="000000"/>
        </w:rPr>
        <w:t>нанимателя на участие на безвозмездной</w:t>
      </w:r>
    </w:p>
    <w:p>
      <w:pPr>
        <w:pStyle w:val="ConsPlusNormal"/>
        <w:ind w:hanging="0" w:left="0" w:right="0"/>
        <w:jc w:val="right"/>
        <w:rPr>
          <w:color w:val="000000"/>
        </w:rPr>
      </w:pPr>
      <w:r>
        <w:rPr>
          <w:color w:val="000000"/>
        </w:rPr>
        <w:t>основе в управлении некоммерческими</w:t>
      </w:r>
    </w:p>
    <w:p>
      <w:pPr>
        <w:pStyle w:val="ConsPlusNormal"/>
        <w:ind w:hanging="0" w:left="0" w:right="0"/>
        <w:jc w:val="right"/>
        <w:rPr>
          <w:color w:val="000000"/>
        </w:rPr>
      </w:pPr>
      <w:r>
        <w:rPr>
          <w:color w:val="000000"/>
        </w:rPr>
        <w:t>организациями, утвержденному</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258</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Рекомендуемый образец</w:t>
      </w:r>
    </w:p>
    <w:p>
      <w:pPr>
        <w:pStyle w:val="ConsPlusNormal"/>
        <w:ind w:hanging="0" w:left="0" w:right="0"/>
        <w:jc w:val="both"/>
        <w:rPr>
          <w:color w:val="000000"/>
        </w:rPr>
      </w:pPr>
      <w:r>
        <w:rPr>
          <w:color w:val="000000"/>
        </w:rPr>
      </w:r>
    </w:p>
    <w:tbl>
      <w:tblPr>
        <w:tblW w:w="9070" w:type="dxa"/>
        <w:jc w:val="left"/>
        <w:tblInd w:w="0" w:type="dxa"/>
        <w:tblLayout w:type="fixed"/>
        <w:tblCellMar>
          <w:top w:w="102" w:type="dxa"/>
          <w:left w:w="62" w:type="dxa"/>
          <w:bottom w:w="102" w:type="dxa"/>
          <w:right w:w="62" w:type="dxa"/>
        </w:tblCellMar>
      </w:tblPr>
      <w:tblGrid>
        <w:gridCol w:w="7538"/>
        <w:gridCol w:w="1531"/>
      </w:tblGrid>
      <w:tr>
        <w:trPr/>
        <w:tc>
          <w:tcPr>
            <w:tcW w:w="9069" w:type="dxa"/>
            <w:gridSpan w:val="2"/>
            <w:tcBorders/>
          </w:tcPr>
          <w:p>
            <w:pPr>
              <w:pStyle w:val="ConsPlusNormal"/>
              <w:tabs>
                <w:tab w:val="clear" w:pos="720"/>
              </w:tabs>
              <w:ind w:hanging="0" w:left="0" w:right="0"/>
              <w:jc w:val="center"/>
              <w:rPr>
                <w:color w:val="000000"/>
              </w:rPr>
            </w:pPr>
            <w:bookmarkStart w:id="4" w:name="Par158"/>
            <w:bookmarkEnd w:id="4"/>
            <w:r>
              <w:rPr>
                <w:color w:val="000000"/>
              </w:rPr>
              <w:t>ЖУРНАЛ</w:t>
            </w:r>
          </w:p>
          <w:p>
            <w:pPr>
              <w:pStyle w:val="ConsPlusNormal"/>
              <w:tabs>
                <w:tab w:val="clear" w:pos="720"/>
              </w:tabs>
              <w:ind w:hanging="0" w:left="0" w:right="0"/>
              <w:jc w:val="center"/>
              <w:rPr/>
            </w:pPr>
            <w:r>
              <w:rPr>
                <w:color w:val="000000"/>
              </w:rPr>
              <w:t>учета рапортов (заявлений) федеральных государственных служащих</w:t>
            </w:r>
          </w:p>
        </w:tc>
      </w:tr>
      <w:tr>
        <w:trPr/>
        <w:tc>
          <w:tcPr>
            <w:tcW w:w="9069" w:type="dxa"/>
            <w:gridSpan w:val="2"/>
            <w:tcBorders>
              <w:bottom w:val="single" w:sz="4" w:space="0" w:color="000000"/>
            </w:tcBorders>
          </w:tcPr>
          <w:p>
            <w:pPr>
              <w:pStyle w:val="ConsPlusNormal"/>
              <w:tabs>
                <w:tab w:val="clear" w:pos="720"/>
              </w:tabs>
              <w:ind w:hanging="0" w:left="0" w:right="0"/>
              <w:jc w:val="left"/>
              <w:rPr>
                <w:color w:val="000000"/>
              </w:rPr>
            </w:pPr>
            <w:r>
              <w:rPr>
                <w:color w:val="000000"/>
              </w:rPr>
            </w:r>
          </w:p>
        </w:tc>
      </w:tr>
      <w:tr>
        <w:trPr/>
        <w:tc>
          <w:tcPr>
            <w:tcW w:w="9069" w:type="dxa"/>
            <w:gridSpan w:val="2"/>
            <w:tcBorders>
              <w:top w:val="single" w:sz="4" w:space="0" w:color="000000"/>
            </w:tcBorders>
          </w:tcPr>
          <w:p>
            <w:pPr>
              <w:pStyle w:val="ConsPlusNormal"/>
              <w:tabs>
                <w:tab w:val="clear" w:pos="720"/>
              </w:tabs>
              <w:ind w:hanging="0" w:left="0" w:right="0"/>
              <w:jc w:val="center"/>
              <w:rPr/>
            </w:pPr>
            <w:r>
              <w:rPr>
                <w:color w:val="000000"/>
              </w:rPr>
              <w:t>(Росгвардия, управление оперативно-территориального объединения, территориальный орган Росгвардии, управление соединения, воинская часть, подразделения, военная образовательная организация высшего образования и организация войск национальной гвардии Российской Федерации)</w:t>
            </w:r>
          </w:p>
        </w:tc>
      </w:tr>
      <w:tr>
        <w:trPr/>
        <w:tc>
          <w:tcPr>
            <w:tcW w:w="7538" w:type="dxa"/>
            <w:tcBorders>
              <w:bottom w:val="single" w:sz="4" w:space="0" w:color="000000"/>
            </w:tcBorders>
          </w:tcPr>
          <w:p>
            <w:pPr>
              <w:pStyle w:val="ConsPlusNormal"/>
              <w:tabs>
                <w:tab w:val="clear" w:pos="720"/>
              </w:tabs>
              <w:ind w:hanging="0" w:left="0" w:right="0"/>
              <w:jc w:val="left"/>
              <w:rPr>
                <w:color w:val="000000"/>
              </w:rPr>
            </w:pPr>
            <w:r>
              <w:rPr>
                <w:color w:val="000000"/>
              </w:rPr>
            </w:r>
          </w:p>
        </w:tc>
        <w:tc>
          <w:tcPr>
            <w:tcW w:w="1531" w:type="dxa"/>
            <w:tcBorders/>
          </w:tcPr>
          <w:p>
            <w:pPr>
              <w:pStyle w:val="ConsPlusNormal"/>
              <w:tabs>
                <w:tab w:val="clear" w:pos="720"/>
              </w:tabs>
              <w:ind w:hanging="0" w:left="0" w:right="0"/>
              <w:jc w:val="right"/>
              <w:rPr/>
            </w:pPr>
            <w:r>
              <w:rPr>
                <w:color w:val="000000"/>
              </w:rPr>
              <w:t>о получении</w:t>
            </w:r>
          </w:p>
        </w:tc>
      </w:tr>
      <w:tr>
        <w:trPr/>
        <w:tc>
          <w:tcPr>
            <w:tcW w:w="9069" w:type="dxa"/>
            <w:gridSpan w:val="2"/>
            <w:tcBorders/>
          </w:tcPr>
          <w:p>
            <w:pPr>
              <w:pStyle w:val="ConsPlusNormal"/>
              <w:tabs>
                <w:tab w:val="clear" w:pos="720"/>
              </w:tabs>
              <w:ind w:hanging="0" w:left="0" w:right="0"/>
              <w:jc w:val="both"/>
              <w:rPr/>
            </w:pPr>
            <w:r>
              <w:rPr>
                <w:color w:val="000000"/>
              </w:rPr>
              <w:t>управления соединения разрешения на участие на безвозмездной основе в управлении некоммерческими организациями</w:t>
            </w:r>
          </w:p>
        </w:tc>
      </w:tr>
    </w:tbl>
    <w:p>
      <w:pPr>
        <w:pStyle w:val="ConsPlusNormal"/>
        <w:ind w:hanging="0" w:left="0" w:right="0"/>
        <w:jc w:val="both"/>
        <w:rPr>
          <w:color w:val="000000"/>
        </w:rPr>
      </w:pPr>
      <w:r>
        <w:rPr>
          <w:color w:val="000000"/>
        </w:rPr>
      </w:r>
    </w:p>
    <w:tbl>
      <w:tblPr>
        <w:tblW w:w="9066" w:type="dxa"/>
        <w:jc w:val="left"/>
        <w:tblInd w:w="5" w:type="dxa"/>
        <w:tblLayout w:type="fixed"/>
        <w:tblCellMar>
          <w:top w:w="102" w:type="dxa"/>
          <w:left w:w="62" w:type="dxa"/>
          <w:bottom w:w="102" w:type="dxa"/>
          <w:right w:w="62" w:type="dxa"/>
        </w:tblCellMar>
      </w:tblPr>
      <w:tblGrid>
        <w:gridCol w:w="905"/>
        <w:gridCol w:w="680"/>
        <w:gridCol w:w="964"/>
        <w:gridCol w:w="2381"/>
        <w:gridCol w:w="1359"/>
        <w:gridCol w:w="795"/>
        <w:gridCol w:w="1302"/>
        <w:gridCol w:w="679"/>
      </w:tblGrid>
      <w:tr>
        <w:trPr/>
        <w:tc>
          <w:tcPr>
            <w:tcW w:w="90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Регистрационный номер</w:t>
            </w:r>
          </w:p>
        </w:tc>
        <w:tc>
          <w:tcPr>
            <w:tcW w:w="68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Дата поступления</w:t>
            </w:r>
          </w:p>
        </w:tc>
        <w:tc>
          <w:tcPr>
            <w:tcW w:w="334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Сведения о лице, направившем рапорт (заявление)</w:t>
            </w:r>
          </w:p>
        </w:tc>
        <w:tc>
          <w:tcPr>
            <w:tcW w:w="135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Сведения о некоммерческой организации (наименование, адрес, ОГРН, ИНН, КПП)</w:t>
            </w:r>
          </w:p>
        </w:tc>
        <w:tc>
          <w:tcPr>
            <w:tcW w:w="79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Принятое решение</w:t>
            </w:r>
          </w:p>
        </w:tc>
        <w:tc>
          <w:tcPr>
            <w:tcW w:w="1302"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Фамилия, имя, отчество (при наличии) лица, принявшего рапорт (заявление)</w:t>
            </w:r>
          </w:p>
        </w:tc>
        <w:tc>
          <w:tcPr>
            <w:tcW w:w="67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Количество листов</w:t>
            </w:r>
          </w:p>
        </w:tc>
      </w:tr>
      <w:tr>
        <w:trPr/>
        <w:tc>
          <w:tcPr>
            <w:tcW w:w="90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c>
          <w:tcPr>
            <w:tcW w:w="68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Фамилия, имя, отчество (при наличии)</w:t>
            </w:r>
          </w:p>
        </w:tc>
        <w:tc>
          <w:tcPr>
            <w:tcW w:w="23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Замещаемая воинская должность (должность), воинское (специальное) звание, классный чин</w:t>
            </w:r>
          </w:p>
        </w:tc>
        <w:tc>
          <w:tcPr>
            <w:tcW w:w="135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c>
          <w:tcPr>
            <w:tcW w:w="79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c>
          <w:tcPr>
            <w:tcW w:w="130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c>
          <w:tcPr>
            <w:tcW w:w="67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color w:val="000000"/>
              </w:rPr>
            </w:pPr>
            <w:r>
              <w:rPr>
                <w:color w:val="000000"/>
              </w:rPr>
            </w:r>
          </w:p>
        </w:tc>
      </w:tr>
      <w:tr>
        <w:trPr/>
        <w:tc>
          <w:tcPr>
            <w:tcW w:w="90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1</w:t>
            </w:r>
          </w:p>
        </w:tc>
        <w:tc>
          <w:tcPr>
            <w:tcW w:w="68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2</w:t>
            </w:r>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3</w:t>
            </w:r>
          </w:p>
        </w:tc>
        <w:tc>
          <w:tcPr>
            <w:tcW w:w="23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4</w:t>
            </w:r>
          </w:p>
        </w:tc>
        <w:tc>
          <w:tcPr>
            <w:tcW w:w="13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5</w:t>
            </w:r>
          </w:p>
        </w:tc>
        <w:tc>
          <w:tcPr>
            <w:tcW w:w="79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6</w:t>
            </w:r>
          </w:p>
        </w:tc>
        <w:tc>
          <w:tcPr>
            <w:tcW w:w="130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7</w:t>
            </w:r>
          </w:p>
        </w:tc>
        <w:tc>
          <w:tcPr>
            <w:tcW w:w="67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center"/>
              <w:rPr/>
            </w:pPr>
            <w:r>
              <w:rPr>
                <w:color w:val="000000"/>
              </w:rPr>
              <w:t>8</w:t>
            </w:r>
          </w:p>
        </w:tc>
      </w:tr>
      <w:tr>
        <w:trPr/>
        <w:tc>
          <w:tcPr>
            <w:tcW w:w="90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68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23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13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79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130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c>
          <w:tcPr>
            <w:tcW w:w="67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hanging="0" w:left="0" w:right="0"/>
              <w:jc w:val="left"/>
              <w:rPr>
                <w:color w:val="000000"/>
              </w:rPr>
            </w:pPr>
            <w:r>
              <w:rPr>
                <w:color w:val="000000"/>
              </w:rPr>
            </w:r>
          </w:p>
        </w:tc>
      </w:tr>
    </w:tbl>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2021-10-05T17:24:00Z</dcterms:created>
  <dc:creator/>
  <dc:description/>
  <dc:language>en-US</dc:language>
  <cp:lastModifiedBy/>
  <cp:revision>0</cp:revision>
  <dc:subject/>
  <dc:title>Приказ Росгвардии от 07.07.2021 N 258"Об утверждении Порядка получения федеральными государственными служащими войск национальной гвардии Российской Федерации разрешения представителя нанимателя на участие на безвозмездной основе в управлении некоммерческими организациями"(Зарегистрировано в Минюсте России 11.08.2021 N 64599)</dc:title>
</cp:coreProperties>
</file>

<file path=docProps/custom.xml><?xml version="1.0" encoding="utf-8"?>
<Properties xmlns="http://schemas.openxmlformats.org/officeDocument/2006/custom-properties" xmlns:vt="http://schemas.openxmlformats.org/officeDocument/2006/docPropsVTypes"/>
</file>