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716" w:type="dxa"/>
        <w:jc w:val="left"/>
        <w:tblInd w:w="80" w:type="dxa"/>
        <w:tblLayout w:type="fixed"/>
        <w:tblCellMar>
          <w:top w:w="60" w:type="dxa"/>
          <w:left w:w="80" w:type="dxa"/>
          <w:bottom w:w="60" w:type="dxa"/>
          <w:right w:w="80" w:type="dxa"/>
        </w:tblCellMar>
      </w:tblPr>
      <w:tblGrid>
        <w:gridCol w:w="10716"/>
      </w:tblGrid>
      <w:tr>
        <w:trPr>
          <w:trHeight w:val="3031" w:hRule="exact"/>
        </w:trPr>
        <w:tc>
          <w:tcPr>
            <w:tcW w:w="10716" w:type="dxa"/>
            <w:tcBorders/>
          </w:tcPr>
          <w:p>
            <w:pPr>
              <w:pStyle w:val="ConsPlusTitlePage"/>
              <w:tabs>
                <w:tab w:val="clear" w:pos="720"/>
              </w:tabs>
              <w:ind w:hanging="0" w:left="0" w:right="0"/>
              <w:jc w:val="left"/>
              <w:rPr>
                <w:color w:val="000000"/>
              </w:rPr>
            </w:pPr>
            <w:r>
              <w:rPr/>
              <w:drawing>
                <wp:inline distT="0" distB="0" distL="0" distR="0">
                  <wp:extent cx="3810000" cy="904875"/>
                  <wp:effectExtent l="0" t="0" r="0" b="0"/>
                  <wp:docPr id="1" name="Image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c>
          <w:tcPr>
            <w:tcW w:w="10716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hanging="0" w:left="0" w:right="0"/>
              <w:jc w:val="center"/>
              <w:rPr/>
            </w:pPr>
            <w:r>
              <w:rPr>
                <w:color w:val="000000"/>
                <w:sz w:val="48"/>
              </w:rPr>
              <w:t>Приказ Росгвардии от 11.05.2018 N 176</w:t>
            </w:r>
            <w:r>
              <w:rPr>
                <w:color w:val="000000"/>
              </w:rPr>
              <w:br/>
            </w:r>
            <w:r>
              <w:rPr>
                <w:color w:val="000000"/>
                <w:sz w:val="48"/>
              </w:rPr>
              <w:t>"Об утверждении Порядка участия военнослужащих войск национальной гвардии Российской Федерации, лиц, проходящих службу в войсках национальной гвардии Российской Федерации и имеющих специальные звания полиции, на безвозмездной основе в управлении общественно-государственными организациями, осуществляющими развитие военно-прикладных и служебно-прикладных видов спорта"</w:t>
            </w:r>
            <w:r>
              <w:rPr>
                <w:color w:val="000000"/>
              </w:rPr>
              <w:br/>
            </w:r>
            <w:r>
              <w:rPr>
                <w:color w:val="000000"/>
                <w:sz w:val="48"/>
              </w:rPr>
              <w:t>(Зарегистрировано в Минюсте России 07.09.2018 N 52116)</w:t>
            </w:r>
          </w:p>
        </w:tc>
      </w:tr>
      <w:tr>
        <w:trPr>
          <w:trHeight w:val="3031" w:hRule="exact"/>
        </w:trPr>
        <w:tc>
          <w:tcPr>
            <w:tcW w:w="10716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hanging="0" w:left="0" w:right="0"/>
              <w:jc w:val="center"/>
              <w:rPr/>
            </w:pPr>
            <w:r>
              <w:rPr>
                <w:color w:val="000000"/>
                <w:sz w:val="28"/>
              </w:rPr>
              <w:t xml:space="preserve">Документ предоставлен </w:t>
            </w:r>
            <w:hyperlink r:id="rId3">
              <w:r>
                <w:rPr>
                  <w:b/>
                  <w:color w:val="0000FF"/>
                  <w:sz w:val="28"/>
                </w:rPr>
                <w:t>КонсультантПлюс</w:t>
              </w:r>
              <w:r>
                <w:rPr>
                  <w:color w:val="000000"/>
                </w:rPr>
                <w:br/>
                <w:br/>
              </w:r>
            </w:hyperlink>
            <w:hyperlink r:id="rId4">
              <w:r>
                <w:rPr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color w:val="000000"/>
              </w:rPr>
              <w:br/>
              <w:br/>
            </w:r>
            <w:r>
              <w:rPr>
                <w:color w:val="000000"/>
                <w:sz w:val="28"/>
              </w:rPr>
              <w:t>Дата сохранения: 05.10.2021</w:t>
            </w:r>
            <w:r>
              <w:rPr>
                <w:color w:val="000000"/>
              </w:rPr>
              <w:br/>
            </w:r>
            <w:r>
              <w:rPr>
                <w:color w:val="000000"/>
                <w:sz w:val="28"/>
              </w:rPr>
              <w:t> </w:t>
            </w:r>
          </w:p>
        </w:tc>
      </w:tr>
    </w:tbl>
    <w:p>
      <w:pPr>
        <w:pStyle w:val="ConsPlusNormal"/>
        <w:jc w:val="left"/>
        <w:rPr>
          <w:rFonts w:ascii="Tahoma" w:hAnsi="Tahoma"/>
          <w:color w:val="000000"/>
          <w:sz w:val="28"/>
        </w:rPr>
      </w:pPr>
      <w:r>
        <w:rPr>
          <w:rFonts w:ascii="Tahoma" w:hAnsi="Tahoma"/>
          <w:color w:val="000000"/>
          <w:sz w:val="28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left"/>
        <w:rPr>
          <w:color w:val="000000"/>
        </w:rPr>
      </w:pPr>
      <w:r>
        <w:rPr>
          <w:color w:val="000000"/>
        </w:rPr>
        <w:t>Зарегистрировано в Минюсте России 7 сентября 2018 г. N 52116</w:t>
      </w:r>
    </w:p>
    <w:p>
      <w:pPr>
        <w:pStyle w:val="ConsPlusNormal"/>
        <w:pBdr>
          <w:top w:val="single" w:sz="6" w:space="0" w:color="000000"/>
        </w:pBdr>
        <w:spacing w:before="100" w:after="100"/>
        <w:ind w:hanging="0" w:left="0" w:right="0"/>
        <w:jc w:val="both"/>
        <w:rPr>
          <w:color w:val="000000"/>
          <w:sz w:val="0"/>
        </w:rPr>
      </w:pPr>
      <w:r>
        <w:rPr>
          <w:color w:val="000000"/>
          <w:sz w:val="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ФЕДЕРАЛЬНАЯ СЛУЖБА ВОЙСК НАЦИОНАЛЬНОЙ ГВАРДИИ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РОССИЙСКОЙ ФЕДЕРАЦИИ</w:t>
      </w:r>
    </w:p>
    <w:p>
      <w:pPr>
        <w:pStyle w:val="ConsPlusTitle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ПРИКАЗ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от 11 мая 2018 г. N 176</w:t>
      </w:r>
    </w:p>
    <w:p>
      <w:pPr>
        <w:pStyle w:val="ConsPlusTitle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ОБ УТВЕРЖДЕНИИ ПОРЯДКА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УЧАСТИЯ ВОЕННОСЛУЖАЩИХ ВОЙСК НАЦИОНАЛЬНОЙ ГВАРДИИ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РОССИЙСКОЙ ФЕДЕРАЦИИ, ЛИЦ, ПРОХОДЯЩИХ СЛУЖБУ В ВОЙСКАХ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НАЦИОНАЛЬНОЙ ГВАРДИИ РОССИЙСКОЙ ФЕДЕРАЦИИ И ИМЕЮЩИХ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СПЕЦИАЛЬНЫЕ ЗВАНИЯ ПОЛИЦИИ, НА БЕЗВОЗМЕЗДНОЙ ОСНОВЕ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В УПРАВЛЕНИИ ОБЩЕСТВЕННО-ГОСУДАРСТВЕННЫМИ ОРГАНИЗАЦИЯМИ,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ОСУЩЕСТВЛЯЮЩИМИ РАЗВИТИЕ ВОЕННО-ПРИКЛАДНЫХ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И СЛУЖЕБНО-ПРИКЛАДНЫХ ВИДОВ СПОРТА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В соответствии с пунктом 3 статьи 9 Федерального закона от 27 мая 1998 г. N 76-ФЗ "О статусе военнослужащих" &lt;1&gt; и пунктом 23 части 1 статьи 11 Федерального закона от 30 ноября 2011 г. N 342-ФЗ "О службе в органах внутренних дел Российской Федерации и внесении изменений в отдельные законодательные акты Российской Федерации" &lt;2&gt; приказываю: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&lt;1&gt; Собрание законодательства Российской Федерации, 1998, N 22, ст. 2331; 2017, N 15, ст. 2139.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&lt;2&gt; Собрание законодательства Российской Федерации, 2011, N 49, ст. 7020; 2017, N 15, ст. 2139.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 xml:space="preserve">Утвердить прилагаемый </w:t>
      </w:r>
      <w:hyperlink w:anchor="Par45" w:tgtFrame="ПОРЯДОК">
        <w:r>
          <w:rPr>
            <w:color w:val="0000FF"/>
          </w:rPr>
          <w:t>Порядок</w:t>
        </w:r>
      </w:hyperlink>
      <w:r>
        <w:rPr>
          <w:color w:val="000000"/>
        </w:rPr>
        <w:t xml:space="preserve"> участия военнослужащих войск национальной гвардии Российской Федерации, лиц, проходящих службу в войсках национальной гвардии Российской Федерации и имеющих специальные звания полиции, на безвозмездной основе в управлении общественно-государственными организациями, осуществляющими развитие военно-прикладных и служебно-прикладных видов спорта.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Директор Федеральной службы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войск национальной гвардии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Российской Федерации -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главнокомандующий войсками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национальной гвардии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Российской Федерации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генерал армии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В.ЗОЛОТОВ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Приложение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к приказу Федеральной службы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войск национальной гвардии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Российской Федерации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от 11.05.2018 N 176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bookmarkStart w:id="0" w:name="Par45"/>
      <w:bookmarkEnd w:id="0"/>
      <w:r>
        <w:rPr>
          <w:color w:val="000000"/>
        </w:rPr>
        <w:t>ПОРЯДОК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УЧАСТИЯ ВОЕННОСЛУЖАЩИХ ВОЙСК НАЦИОНАЛЬНОЙ ГВАРДИИ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РОССИЙСКОЙ ФЕДЕРАЦИИ, ЛИЦ, ПРОХОДЯЩИХ СЛУЖБУ В ВОЙСКАХ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НАЦИОНАЛЬНОЙ ГВАРДИИ РОССИЙСКОЙ ФЕДЕРАЦИИ И ИМЕЮЩИХ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СПЕЦИАЛЬНЫЕ ЗВАНИЯ ПОЛИЦИИ, НА БЕЗВОЗМЕЗДНОЙ ОСНОВЕ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В УПРАВЛЕНИИ ОБЩЕСТВЕННО-ГОСУДАРСТВЕННЫМИ ОРГАНИЗАЦИЯМИ,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ОСУЩЕСТВЛЯЮЩИМИ РАЗВИТИЕ ВОЕННО-ПРИКЛАДНЫХ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И СЛУЖЕБНО-ПРИКЛАДНЫХ ВИДОВ СПОРТА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1. Настоящий Порядок определяет процедуру участия военнослужащих войск национальной гвардии Российской Федерации &lt;1&gt;, лиц, проходящих службу в войсках национальной гвардии и имеющих специальные звания полиции &lt;2&gt;, на безвозмездной основе в управлении общественно-государственными организациями, осуществляющими развитие военно-прикладных и служебно-прикладных видов спорта &lt;3&gt;.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&lt;1&gt; Далее - "войска национальной гвардии".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&lt;2&gt; Далее - "военнослужащие (сотрудники)".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&lt;3&gt; Далее - "общественно-государственные организации".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2. Целями участия военнослужащих (сотрудников) на безвозмездной основе в управлении общественно-государственными организациями являются: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а) развитие военно-прикладных и служебно-прикладных видов спорта и физической подготовки личного состава войск национальной гвардии;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б) межведомственная координация военно-прикладных и служебно-прикладных видов спорта, развиваемых в рамках деятельности двух и более федеральных органов исполнительной власти;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в) развитие массового спорта среди личного состава войск национальной гвардии, а также членов семей военнослужащих (сотрудников), федеральных государственных гражданских служащих и работников войск национальной гвардии;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г) создание условий для обеспечения и повышения качества физической и профессиональной подготовки личного состава войск национальной гвардии;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д) нравственное, военно-патриотическое и физическое воспитание детей и молодежи.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3. Участие военнослужащих (сотрудников) на безвозмездной основе в управлении общественно-государственными организациями обусловлено решением следующих задач: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а) разработка правил военно-прикладных и служебно-прикладных видов спорта, развиваемых в рамках деятельности двух и более федеральных органов исполнительной власти, а также согласование указанных правил с заинтересованными федеральными органами исполнительной власти;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б) проведение межведомственных спортивных и физкультурных мероприятий;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в) проведение учебно-тренировочных мероприятий и учебно-методических семинаров по военно-прикладным и служебно-прикладным видам спорта;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г) повышение уровня физической подготовки личного состава войск национальной гвардии;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д) профессиональная ориентация молодежи на военную службу (службу) в войсках национальной гвардии.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4. Участие военнослужащих (сотрудников) на безвозмездной основе в управлении общественно-государственными организациями осуществляется с разрешения директора Федеральной службы войск национальной гвардии Российской Федерации - главнокомандующего войсками национальной гвардии Российской Федерации &lt;1&gt;, командующих округами войск национальной гвардии, начальников территориальных органов Росгвардии, командиров (начальников) соединений, воинских частей (военных образовательных организаций высшего образования и иных организаций) &lt;2&gt; войск национальной гвардии &lt;3&gt;.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&lt;1&gt; Далее - "директор".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&lt;2&gt; Далее - "воинские части (организации)".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&lt;3&gt; Далее - "командир (начальник)", если не оговорено особо.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bookmarkStart w:id="1" w:name="Par78"/>
      <w:bookmarkEnd w:id="1"/>
      <w:r>
        <w:rPr>
          <w:color w:val="000000"/>
        </w:rPr>
        <w:t>5. Рапорт на получение разрешения на участие в управлении общественно-государственными организациями &lt;4&gt; на безвозмездной основе оформляется в письменном виде (</w:t>
      </w:r>
      <w:hyperlink w:anchor="Par150" w:tgtFrame=" РАПОРТ">
        <w:r>
          <w:rPr>
            <w:color w:val="0000FF"/>
          </w:rPr>
          <w:t>приложение</w:t>
        </w:r>
      </w:hyperlink>
      <w:r>
        <w:rPr>
          <w:color w:val="000000"/>
        </w:rPr>
        <w:t xml:space="preserve"> к настоящему Порядку) и представляется через кадровое подразделение, а в случае его отсутствия - через должностное лицо, в должностные (служебные) обязанности которого входят функции по кадровому обеспечению &lt;5&gt;: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&lt;4&gt; Далее - "рапорт".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&lt;5&gt; Далее - "кадровое подразделение (ответственное должностное лицо)".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военнослужащими (сотрудниками) структурных подразделений центрального аппарата Росгвардии, командующими округами войск национальной гвардии, командирами (начальниками) воинских частей (организаций) войск национальной гвардии, начальниками территориальных органов Росгвардии, непосредственно подчиненных директору, - директору;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начальниками территориальных органов Росгвардии, командирами соединений и воинских частей войск национальной гвардии, непосредственно подчиненных командующим округами войск национальной гвардии, военнослужащими (сотрудниками) управлений оперативно-территориальных объединений войск национальной гвардии - командующим округами войск национальной гвардии;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командирами воинских частей, входящих в состав соединений войск национальной гвардии, и военнослужащими управлений соединений войск национальной гвардии - командирам соединений войск национальной гвардии;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военнослужащими (сотрудниками) территориальных органов Росгвардии, сотрудниками организаций (подразделений), подчиненных начальникам территориальных органов Росгвардии, - начальникам территориальных органов Росгвардии;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военнослужащими (сотрудниками) воинских частей (организаций) войск национальной гвардии - командирам (начальникам) воинских частей (организаций) войск национальной гвардии.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6. Кадровое подразделение (ответственное должностное лицо) информирует военнослужащего (сотрудника) о решении, принятом командиром (начальником), в семидневный срок со дня принятия соответствующего решения.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 xml:space="preserve">7. Военнослужащий (сотрудник), избранный в органы управления общественно-государственных организаций без получения разрешения командира (начальника), обязан подать рапорт в соответствии с </w:t>
      </w:r>
      <w:hyperlink w:anchor="Par78" w:tgtFrame="5. Рапорт на получение разрешения на участие в управлении общественно-государственными организациями &lt;4&gt; на безвозмездной основе оформляется в письменном виде (приложение к настоящему Порядку) и представляется через кадровое подразделение, а в случае его отсутствия - через должностное лицо, в должностные (служебные) обязанности которого входят функции по кадровому обеспечению &lt;5&gt;:">
        <w:r>
          <w:rPr>
            <w:color w:val="0000FF"/>
          </w:rPr>
          <w:t>пунктом 5</w:t>
        </w:r>
      </w:hyperlink>
      <w:r>
        <w:rPr>
          <w:color w:val="000000"/>
        </w:rPr>
        <w:t xml:space="preserve"> настоящего Порядка и представить документы, подтверждающие его избрание в органы управления общественно-государственных организаций, не позднее пятнадцати рабочих дней после избрания.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 xml:space="preserve">8. </w:t>
      </w:r>
      <w:hyperlink w:anchor="Par150" w:tgtFrame=" РАПОРТ">
        <w:r>
          <w:rPr>
            <w:color w:val="0000FF"/>
          </w:rPr>
          <w:t>Рапорт</w:t>
        </w:r>
      </w:hyperlink>
      <w:r>
        <w:rPr>
          <w:color w:val="000000"/>
        </w:rPr>
        <w:t xml:space="preserve"> и представленные документы направляются в кадровое подразделение (ответственному должностному лицу) и приобщаются к личным делам военнослужащих (сотрудников).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9. Военнослужащие (сотрудники) участвуют в управлении общественно-государственными организациями посредством: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а) участия в работе руководящих органов общественно-государственных организаций (центрального совета, попечительского совета, центральной контрольно-ревизионной комиссии, наблюдательного совета) и региональных (межрегиональных), местных и первичных организаций общественно-государственных организаций &lt;1&gt;;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&lt;1&gt; Далее - "руководящие органы".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б) участия в конференциях, собраниях и съездах общественно-государственных организаций;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в) внесения предложений по совершенствованию деятельности общественно-государственной организации;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г) обращения с заявлениями в руководящие органы;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д) внесения проектов документов и иных материалов на рассмотрение в руководящие органы общественно-государственных организаций;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е) участия в обсуждении вопросов, выносимых на рассмотрение конференции, собрания или съезда;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ж) принятия участия в мероприятиях, проводимых общественно-государственной организацией.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10. Периодичность, условия и особенности участия военнослужащих (сотрудников) в управлении общественно-государственными организациями определяются их учредительными документами.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bookmarkStart w:id="2" w:name="Par103"/>
      <w:bookmarkEnd w:id="2"/>
      <w:r>
        <w:rPr>
          <w:color w:val="000000"/>
        </w:rPr>
        <w:t>11. Военнослужащий (сотрудник), которому решением командира (начальника) отказано в участии в управлении общественно-государственными организациями, обязан в течение трех рабочих дней отказаться от участия в выборах в руководящие органы либо направить самоотвод в органы управления общественно-государственных организаций. При этом в кадровое подразделение (ответственному должностному лицу) представляются соответствующие документы, подтверждающие данный факт.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 xml:space="preserve">12. В случае неисполнения военнослужащим (сотрудником) обязанностей, предусмотренных </w:t>
      </w:r>
      <w:hyperlink w:anchor="Par103" w:tgtFrame="11. Военнослужащий (сотрудник), которому решением командира (начальника) отказано в участии в управлении общественно-государственными организациями, обязан в течение трех рабочих дней отказаться от участия в выборах в руководящие органы либо направить самоотвод в органы управления общественно-государственных организаций. При этом в кадровое подразделение (ответственному должностному лицу) представляются соответствующие документы, подтверждающие данный факт.">
        <w:r>
          <w:rPr>
            <w:color w:val="0000FF"/>
          </w:rPr>
          <w:t>пунктом 11</w:t>
        </w:r>
      </w:hyperlink>
      <w:r>
        <w:rPr>
          <w:color w:val="000000"/>
        </w:rPr>
        <w:t xml:space="preserve"> настоящего Порядка, назначается проверка в соответствии с Положением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утвержденным Указом Президента Российской Федерации от 21 сентября 2009 г. N 1065 &lt;1&gt;.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&lt;1&gt; Собрание законодательства Российской Федерации, 2009, N 39, ст. 4588; 2017, N 39, ст. 5682.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13. Военнослужащие (сотрудники), полномочия которых в органах управления общественно-государственных организаций прекращены, обязаны подать рапорт и соответствующие документы, подтверждающие данный факт, в кадровое подразделение (ответственному должностному лицу) не позднее трех рабочих дней со дня прекращения полномочий.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14. Участие военнослужащих (сотрудников) в управлении общественно-государственными организациями не должно приводить к возникновению конфликта интересов и повлечь за собой снижения эффективности выполнения военнослужащим (сотрудником) обязанностей по замещаемой должности.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15. Кадровое подразделение (ответственное должностное лицо) обеспечивает конфиденциальность и сохранность данных, полученных от военнослужащих (сотрудников) об участии в управлении общественно-государственными организациями.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Приложение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к Порядку участия военнослужащих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войск национальной гвардии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Российской Федерации, лиц,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проходящих службу в войсках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национальной гвардии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Российской Федерации и имеющих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специальные звания полиции,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на безвозмездной основе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в управлении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общественно-государственными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организациями, осуществляющими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развитие военно-прикладных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и служебно-прикладных видов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спорта, утвержденному приказом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Федеральной службы войск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национальной гвардии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Российской Федерации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от 11.05.2018 N 176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Рекомендуемый образец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                                                                        </w:t>
      </w:r>
      <w:r>
        <w:rPr>
          <w:color w:val="000000"/>
        </w:rPr>
        <w:t>Директору Федеральной службы войск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                                                                        </w:t>
      </w:r>
      <w:r>
        <w:rPr>
          <w:color w:val="000000"/>
        </w:rPr>
        <w:t>национальной      гвардии    Российской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                                                                        </w:t>
      </w:r>
      <w:r>
        <w:rPr>
          <w:color w:val="000000"/>
        </w:rPr>
        <w:t>Федерации      -      главнокомандующему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                                                                        </w:t>
      </w:r>
      <w:r>
        <w:rPr>
          <w:color w:val="000000"/>
        </w:rPr>
        <w:t>войсками        национальной      гвардии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                                                                        </w:t>
      </w:r>
      <w:r>
        <w:rPr>
          <w:color w:val="000000"/>
        </w:rPr>
        <w:t>Российской      Федерации    (командиру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                                                                        </w:t>
      </w:r>
      <w:r>
        <w:rPr>
          <w:color w:val="000000"/>
        </w:rPr>
        <w:t>(начальнику) _____________________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                                                                        </w:t>
      </w:r>
      <w:r>
        <w:rPr>
          <w:color w:val="000000"/>
        </w:rPr>
        <w:t>__________________________________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                                                                        </w:t>
      </w:r>
      <w:r>
        <w:rPr>
          <w:color w:val="000000"/>
        </w:rPr>
        <w:t>от _______________________________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                                                                                        </w:t>
      </w:r>
      <w:r>
        <w:rPr>
          <w:color w:val="000000"/>
        </w:rPr>
        <w:t>(должность, звание)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                                                                        </w:t>
      </w:r>
      <w:r>
        <w:rPr>
          <w:color w:val="000000"/>
        </w:rPr>
        <w:t>__________________________________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                                                                                      </w:t>
      </w:r>
      <w:r>
        <w:rPr>
          <w:color w:val="000000"/>
        </w:rPr>
        <w:t>(инициалы и фамилия)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nformat"/>
        <w:ind w:hanging="0" w:left="0" w:right="0"/>
        <w:jc w:val="both"/>
        <w:rPr>
          <w:color w:val="000000"/>
        </w:rPr>
      </w:pPr>
      <w:bookmarkStart w:id="3" w:name="Par150"/>
      <w:bookmarkEnd w:id="3"/>
      <w:r>
        <w:rPr>
          <w:color w:val="000000"/>
        </w:rPr>
        <w:t xml:space="preserve">                                                                    </w:t>
      </w:r>
      <w:r>
        <w:rPr>
          <w:color w:val="000000"/>
        </w:rPr>
        <w:t>РАПОРТ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                  </w:t>
      </w:r>
      <w:r>
        <w:rPr>
          <w:color w:val="000000"/>
        </w:rPr>
        <w:t>на получение разрешения на участие в управлении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                      </w:t>
      </w:r>
      <w:r>
        <w:rPr>
          <w:color w:val="000000"/>
        </w:rPr>
        <w:t>общественно-государственными организациями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</w:t>
      </w:r>
      <w:r>
        <w:rPr>
          <w:color w:val="000000"/>
        </w:rPr>
        <w:t>Прошу дать разрешение на участие в управлении _________________________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                                                                                              </w:t>
      </w:r>
      <w:r>
        <w:rPr>
          <w:color w:val="000000"/>
        </w:rPr>
        <w:t>(полное наименование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</w:t>
      </w:r>
      <w:r>
        <w:rPr>
          <w:color w:val="000000"/>
        </w:rPr>
        <w:t>общественно-государственной организации, вид деятельности, адрес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                                    </w:t>
      </w:r>
      <w:r>
        <w:rPr>
          <w:color w:val="000000"/>
        </w:rPr>
        <w:t>регистрации, ОГРН, ИНН, КПП)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</w:t>
      </w:r>
      <w:r>
        <w:rPr>
          <w:color w:val="000000"/>
        </w:rPr>
        <w:t>Обоснование необходимости участия: ____________________________________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</w:t>
      </w:r>
      <w:r>
        <w:rPr>
          <w:color w:val="000000"/>
        </w:rPr>
        <w:t>Деятельность        будет        осуществляться        на        безвозмездной      основе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    </w:t>
      </w:r>
      <w:r>
        <w:rPr>
          <w:color w:val="000000"/>
        </w:rPr>
        <w:t>(в служебное или неслужебное время и в какой период времени)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</w:t>
      </w:r>
      <w:r>
        <w:rPr>
          <w:color w:val="000000"/>
        </w:rPr>
        <w:t>______________________________________                    _______________________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 xml:space="preserve">          </w:t>
      </w:r>
      <w:r>
        <w:rPr>
          <w:color w:val="000000"/>
        </w:rPr>
        <w:t>(подпись лица, направляющего рапорт)                        (расшифровка подписи)</w:t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nformat"/>
        <w:ind w:hanging="0" w:left="0" w:right="0"/>
        <w:jc w:val="both"/>
        <w:rPr>
          <w:color w:val="000000"/>
        </w:rPr>
      </w:pPr>
      <w:r>
        <w:rPr>
          <w:color w:val="000000"/>
        </w:rPr>
        <w:t>"__" __________ 20__ г.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pBdr>
          <w:top w:val="single" w:sz="6" w:space="0" w:color="000000"/>
        </w:pBdr>
        <w:spacing w:before="100" w:after="100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sectPr>
      <w:type w:val="nextPage"/>
      <w:pgSz w:w="11906" w:h="16838"/>
      <w:pgMar w:left="595" w:right="595" w:gutter="0" w:header="0" w:top="841" w:footer="0" w:bottom="841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Sans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Courier New">
    <w:charset w:val="01"/>
    <w:family w:val="roman"/>
    <w:pitch w:val="variable"/>
  </w:font>
  <w:font w:name="Arial">
    <w:charset w:val="01"/>
    <w:family w:val="roman"/>
    <w:pitch w:val="variable"/>
  </w:font>
  <w:font w:name="Tahoma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20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erif CN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</w:pPr>
    <w:rPr>
      <w:rFonts w:ascii="PT Sans" w:hAnsi="PT Sans" w:eastAsia="Noto Sans Devanagari" w:cs="Liberation Serif"/>
      <w:color w:val="auto"/>
      <w:kern w:val="2"/>
      <w:sz w:val="24"/>
      <w:szCs w:val="24"/>
      <w:lang w:val="ru-RU" w:eastAsia="hi-IN" w:bidi="hi-IN"/>
    </w:rPr>
  </w:style>
  <w:style w:type="character" w:styleId="-">
    <w:name w:val="Интернет-ссылка"/>
    <w:qFormat/>
    <w:rPr>
      <w:color w:val="000080"/>
      <w:u w:val="single"/>
      <w:lang w:val="zxx" w:eastAsia="zxx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Source Han Sans CN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Style14">
    <w:name w:val="Заголовок"/>
    <w:basedOn w:val="Normal"/>
    <w:qFormat/>
    <w:pPr>
      <w:keepNext w:val="true"/>
      <w:spacing w:before="240" w:after="120"/>
    </w:pPr>
    <w:rPr>
      <w:sz w:val="28"/>
    </w:rPr>
  </w:style>
  <w:style w:type="paragraph" w:styleId="Style15">
    <w:name w:val="Основной текст"/>
    <w:basedOn w:val="Normal"/>
    <w:qFormat/>
    <w:pPr>
      <w:spacing w:lineRule="auto" w:line="276" w:before="0" w:after="140"/>
    </w:pPr>
    <w:rPr/>
  </w:style>
  <w:style w:type="paragraph" w:styleId="Style16">
    <w:name w:val="Список"/>
    <w:basedOn w:val="Style15"/>
    <w:qFormat/>
    <w:pPr>
      <w:spacing w:lineRule="auto" w:line="276" w:before="0" w:after="140"/>
    </w:pPr>
    <w:rPr/>
  </w:style>
  <w:style w:type="paragraph" w:styleId="Style17">
    <w:name w:val="Название"/>
    <w:basedOn w:val="Normal"/>
    <w:qFormat/>
    <w:pPr>
      <w:spacing w:before="120" w:after="120"/>
    </w:pPr>
    <w:rPr>
      <w:i/>
    </w:rPr>
  </w:style>
  <w:style w:type="paragraph" w:styleId="Style18">
    <w:name w:val="Указатель"/>
    <w:basedOn w:val="Normal"/>
    <w:qFormat/>
    <w:pPr/>
    <w:rPr/>
  </w:style>
  <w:style w:type="paragraph" w:styleId="ConsPlusNormal">
    <w:name w:val="ConsPlusNormal"/>
    <w:qFormat/>
    <w:pPr>
      <w:widowControl w:val="false"/>
      <w:suppressAutoHyphens w:val="true"/>
      <w:bidi w:val="0"/>
    </w:pPr>
    <w:rPr>
      <w:rFonts w:ascii="Times New Roman" w:hAnsi="Times New Roman" w:eastAsia="Courier New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Nonformat">
    <w:name w:val="ConsPlusNonformat"/>
    <w:qFormat/>
    <w:pPr>
      <w:widowControl w:val="false"/>
      <w:suppressAutoHyphens w:val="true"/>
      <w:bidi w:val="0"/>
    </w:pPr>
    <w:rPr>
      <w:rFonts w:ascii="Courier New" w:hAnsi="Courier New" w:eastAsia="Courier New" w:cs="Liberation Serif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hi-IN" w:bidi="hi-IN"/>
    </w:rPr>
  </w:style>
  <w:style w:type="paragraph" w:styleId="ConsPlusTitle">
    <w:name w:val="ConsPlusTitle"/>
    <w:qFormat/>
    <w:pPr>
      <w:widowControl w:val="false"/>
      <w:suppressAutoHyphens w:val="true"/>
      <w:bidi w:val="0"/>
    </w:pPr>
    <w:rPr>
      <w:rFonts w:ascii="Arial" w:hAnsi="Arial" w:eastAsia="Courier New" w:cs="Liberation Serif"/>
      <w:b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Cell">
    <w:name w:val="ConsPlusCell"/>
    <w:qFormat/>
    <w:pPr>
      <w:widowControl w:val="false"/>
      <w:suppressAutoHyphens w:val="true"/>
      <w:bidi w:val="0"/>
    </w:pPr>
    <w:rPr>
      <w:rFonts w:ascii="Courier New" w:hAnsi="Courier New" w:eastAsia="Courier New" w:cs="Liberation Serif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hi-IN" w:bidi="hi-IN"/>
    </w:rPr>
  </w:style>
  <w:style w:type="paragraph" w:styleId="ConsPlusDocList">
    <w:name w:val="ConsPlusDocList"/>
    <w:qFormat/>
    <w:pPr>
      <w:widowControl w:val="false"/>
      <w:suppressAutoHyphens w:val="true"/>
      <w:bidi w:val="0"/>
    </w:pPr>
    <w:rPr>
      <w:rFonts w:ascii="Tahoma" w:hAnsi="Tahoma" w:eastAsia="Courier New" w:cs="Liberation Serif"/>
      <w:b w:val="false"/>
      <w:i w:val="false"/>
      <w:strike w:val="false"/>
      <w:dstrike w:val="false"/>
      <w:color w:val="auto"/>
      <w:kern w:val="2"/>
      <w:sz w:val="18"/>
      <w:szCs w:val="24"/>
      <w:u w:val="none"/>
      <w:lang w:val="ru-RU" w:eastAsia="hi-IN" w:bidi="hi-IN"/>
    </w:rPr>
  </w:style>
  <w:style w:type="paragraph" w:styleId="ConsPlusTitlePage">
    <w:name w:val="ConsPlusTitlePage"/>
    <w:qFormat/>
    <w:pPr>
      <w:widowControl w:val="false"/>
      <w:suppressAutoHyphens w:val="true"/>
      <w:bidi w:val="0"/>
    </w:pPr>
    <w:rPr>
      <w:rFonts w:ascii="Tahoma" w:hAnsi="Tahoma" w:eastAsia="Courier New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JurTerm">
    <w:name w:val="ConsPlusJurTerm"/>
    <w:qFormat/>
    <w:pPr>
      <w:widowControl w:val="false"/>
      <w:suppressAutoHyphens w:val="true"/>
      <w:bidi w:val="0"/>
    </w:pPr>
    <w:rPr>
      <w:rFonts w:ascii="Times New Roman" w:hAnsi="Times New Roman" w:eastAsia="Courier New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TextList">
    <w:name w:val="ConsPlusTextList"/>
    <w:qFormat/>
    <w:pPr>
      <w:widowControl w:val="false"/>
      <w:suppressAutoHyphens w:val="true"/>
      <w:bidi w:val="0"/>
    </w:pPr>
    <w:rPr>
      <w:rFonts w:ascii="Times New Roman" w:hAnsi="Times New Roman" w:eastAsia="Courier New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>
    <w:name w:val="Верхний колонтитул"/>
    <w:basedOn w:val="Style19"/>
    <w:qFormat/>
    <w:pPr/>
    <w:rPr/>
  </w:style>
  <w:style w:type="paragraph" w:styleId="Style21">
    <w:name w:val="Нижний колонтитул"/>
    <w:basedOn w:val="Style19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www.consultant.ru/" TargetMode="External"/><Relationship Id="rId4" Type="http://schemas.openxmlformats.org/officeDocument/2006/relationships/hyperlink" Target="https://www.consultant.ru/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Company>КонсультантПлюс Версия 4021.00.20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2021-10-05T17:16:00Z</dcterms:created>
  <dc:creator/>
  <dc:description/>
  <dc:language>en-US</dc:language>
  <cp:lastModifiedBy/>
  <cp:revision>0</cp:revision>
  <dc:subject/>
  <dc:title>Приказ Росгвардии от 11.05.2018 N 176"Об утверждении Порядка участия военнослужащих войск национальной гвардии Российской Федерации, лиц, проходящих службу в войсках национальной гвардии Российской Федерации и имеющих специальные звания полиции, на безвозмездной основе в управлении общественно-государственными организациями, осуществляющими развитие военно-прикладных и служебно-прикладных видов спорта"(Зарегистрировано в Минюсте России 07.09.2018 N 52116)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