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tbl>
      <w:tblPr>
        <w:tblW w:w="10716" w:type="dxa"/>
        <w:jc w:val="left"/>
        <w:tblInd w:w="80" w:type="dxa"/>
        <w:tblLayout w:type="fixed"/>
        <w:tblCellMar>
          <w:top w:w="60" w:type="dxa"/>
          <w:left w:w="80" w:type="dxa"/>
          <w:bottom w:w="60" w:type="dxa"/>
          <w:right w:w="80" w:type="dxa"/>
        </w:tblCellMar>
      </w:tblPr>
      <w:tblGrid>
        <w:gridCol w:w="10716"/>
      </w:tblGrid>
      <w:tr>
        <w:trPr>
          <w:trHeight w:val="3031" w:hRule="exact"/>
        </w:trPr>
        <w:tc>
          <w:tcPr>
            <w:tcW w:w="10716" w:type="dxa"/>
            <w:tcBorders/>
          </w:tcPr>
          <w:p>
            <w:pPr>
              <w:pStyle w:val="ConsPlusTitlePage"/>
              <w:tabs>
                <w:tab w:val="clear" w:pos="720"/>
              </w:tabs>
              <w:ind w:hanging="0" w:left="0" w:right="0"/>
              <w:jc w:val="left"/>
              <w:rPr>
                <w:color w:val="000000"/>
              </w:rPr>
            </w:pPr>
            <w:r>
              <w:rPr/>
              <w:drawing>
                <wp:inline distT="0" distB="0" distL="0" distR="0">
                  <wp:extent cx="3810000" cy="904875"/>
                  <wp:effectExtent l="0" t="0" r="0" b="0"/>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3810000" cy="904875"/>
                          </a:xfrm>
                          <a:prstGeom prst="rect">
                            <a:avLst/>
                          </a:prstGeom>
                        </pic:spPr>
                      </pic:pic>
                    </a:graphicData>
                  </a:graphic>
                </wp:inline>
              </w:drawing>
            </w:r>
          </w:p>
        </w:tc>
      </w:tr>
      <w:tr>
        <w:trPr>
          <w:trHeight w:val="8335" w:hRule="exact"/>
        </w:trPr>
        <w:tc>
          <w:tcPr>
            <w:tcW w:w="10716" w:type="dxa"/>
            <w:tcBorders/>
            <w:vAlign w:val="center"/>
          </w:tcPr>
          <w:p>
            <w:pPr>
              <w:pStyle w:val="ConsPlusTitlePage"/>
              <w:tabs>
                <w:tab w:val="clear" w:pos="720"/>
              </w:tabs>
              <w:ind w:hanging="0" w:left="0" w:right="0"/>
              <w:jc w:val="center"/>
              <w:rPr/>
            </w:pPr>
            <w:r>
              <w:rPr>
                <w:color w:val="000000"/>
                <w:sz w:val="48"/>
              </w:rPr>
              <w:t>Приказ Росгвардии от 28.02.2018 N 67</w:t>
            </w:r>
            <w:r>
              <w:rPr>
                <w:color w:val="000000"/>
              </w:rPr>
              <w:br/>
            </w:r>
            <w:r>
              <w:rPr>
                <w:color w:val="000000"/>
                <w:sz w:val="48"/>
              </w:rPr>
              <w:t>(ред. от 11.05.2021)</w:t>
            </w:r>
            <w:r>
              <w:rPr>
                <w:color w:val="000000"/>
              </w:rPr>
              <w:br/>
            </w:r>
            <w:r>
              <w:rPr>
                <w:color w:val="000000"/>
                <w:sz w:val="48"/>
              </w:rPr>
              <w:t>"Об утверждении Положения о комиссиях организаций, создаваемых для выполнения задач, поставленных перед Федеральной службой войск национальной гвардии Российской Федерации, по соблюдению требований к служебному поведению работников и урегулированию конфликта интересов"</w:t>
            </w:r>
            <w:r>
              <w:rPr>
                <w:color w:val="000000"/>
              </w:rPr>
              <w:br/>
            </w:r>
            <w:r>
              <w:rPr>
                <w:color w:val="000000"/>
                <w:sz w:val="48"/>
              </w:rPr>
              <w:t>(Зарегистрировано в Минюсте России 22.03.2018 N 50465)</w:t>
            </w:r>
          </w:p>
        </w:tc>
      </w:tr>
      <w:tr>
        <w:trPr>
          <w:trHeight w:val="3031" w:hRule="exact"/>
        </w:trPr>
        <w:tc>
          <w:tcPr>
            <w:tcW w:w="10716" w:type="dxa"/>
            <w:tcBorders/>
            <w:vAlign w:val="center"/>
          </w:tcPr>
          <w:p>
            <w:pPr>
              <w:pStyle w:val="ConsPlusTitlePage"/>
              <w:tabs>
                <w:tab w:val="clear" w:pos="720"/>
              </w:tabs>
              <w:ind w:hanging="0" w:left="0" w:right="0"/>
              <w:jc w:val="center"/>
              <w:rPr/>
            </w:pPr>
            <w:r>
              <w:rPr>
                <w:color w:val="000000"/>
                <w:sz w:val="28"/>
              </w:rPr>
              <w:t xml:space="preserve">Документ предоставлен </w:t>
            </w:r>
            <w:hyperlink r:id="rId3">
              <w:r>
                <w:rPr>
                  <w:b/>
                  <w:color w:val="0000FF"/>
                  <w:sz w:val="28"/>
                </w:rPr>
                <w:t>КонсультантПлюс</w:t>
              </w:r>
              <w:r>
                <w:rPr>
                  <w:color w:val="000000"/>
                </w:rPr>
                <w:br/>
                <w:br/>
              </w:r>
            </w:hyperlink>
            <w:hyperlink r:id="rId4">
              <w:r>
                <w:rPr>
                  <w:b/>
                  <w:color w:val="0000FF"/>
                  <w:sz w:val="28"/>
                </w:rPr>
                <w:t>www.consultant.ru</w:t>
              </w:r>
            </w:hyperlink>
            <w:r>
              <w:rPr>
                <w:color w:val="000000"/>
              </w:rPr>
              <w:br/>
              <w:br/>
            </w:r>
            <w:r>
              <w:rPr>
                <w:color w:val="000000"/>
                <w:sz w:val="28"/>
              </w:rPr>
              <w:t>Дата сохранения: 05.10.2021</w:t>
            </w:r>
            <w:r>
              <w:rPr>
                <w:color w:val="000000"/>
              </w:rPr>
              <w:br/>
            </w:r>
            <w:r>
              <w:rPr>
                <w:color w:val="000000"/>
                <w:sz w:val="28"/>
              </w:rPr>
              <w:t> </w:t>
            </w:r>
          </w:p>
        </w:tc>
      </w:tr>
    </w:tbl>
    <w:p>
      <w:pPr>
        <w:pStyle w:val="ConsPlusNormal"/>
        <w:jc w:val="left"/>
        <w:rPr>
          <w:rFonts w:ascii="Tahoma" w:hAnsi="Tahoma"/>
          <w:color w:val="000000"/>
          <w:sz w:val="28"/>
        </w:rPr>
      </w:pPr>
      <w:r>
        <w:rPr>
          <w:rFonts w:ascii="Tahoma" w:hAnsi="Tahoma"/>
          <w:color w:val="000000"/>
          <w:sz w:val="28"/>
        </w:rPr>
      </w:r>
    </w:p>
    <w:p>
      <w:pPr>
        <w:pStyle w:val="ConsPlusNormal"/>
        <w:ind w:hanging="0" w:left="0" w:right="0"/>
        <w:jc w:val="both"/>
        <w:rPr>
          <w:color w:val="000000"/>
        </w:rPr>
      </w:pPr>
      <w:r>
        <w:rPr>
          <w:color w:val="000000"/>
        </w:rPr>
      </w:r>
    </w:p>
    <w:p>
      <w:pPr>
        <w:pStyle w:val="ConsPlusNormal"/>
        <w:ind w:hanging="0" w:left="0" w:right="0"/>
        <w:jc w:val="left"/>
        <w:rPr>
          <w:color w:val="000000"/>
        </w:rPr>
      </w:pPr>
      <w:r>
        <w:rPr>
          <w:color w:val="000000"/>
        </w:rPr>
        <w:t>Зарегистрировано в Минюсте России 22 марта 2018 г. N 50465</w:t>
      </w:r>
    </w:p>
    <w:p>
      <w:pPr>
        <w:pStyle w:val="ConsPlusNormal"/>
        <w:pBdr>
          <w:top w:val="single" w:sz="6" w:space="0" w:color="000000"/>
        </w:pBdr>
        <w:spacing w:before="100" w:after="100"/>
        <w:ind w:hanging="0" w:left="0" w:right="0"/>
        <w:jc w:val="both"/>
        <w:rPr>
          <w:color w:val="000000"/>
          <w:sz w:val="0"/>
        </w:rPr>
      </w:pPr>
      <w:r>
        <w:rPr>
          <w:color w:val="000000"/>
          <w:sz w:val="0"/>
        </w:rPr>
      </w:r>
    </w:p>
    <w:p>
      <w:pPr>
        <w:pStyle w:val="ConsPlusNormal"/>
        <w:ind w:hanging="0" w:left="0" w:right="0"/>
        <w:jc w:val="left"/>
        <w:rPr>
          <w:color w:val="000000"/>
        </w:rPr>
      </w:pPr>
      <w:r>
        <w:rPr>
          <w:color w:val="000000"/>
        </w:rPr>
      </w:r>
    </w:p>
    <w:p>
      <w:pPr>
        <w:pStyle w:val="ConsPlusTitle"/>
        <w:ind w:hanging="0" w:left="0" w:right="0"/>
        <w:jc w:val="center"/>
        <w:rPr>
          <w:color w:val="000000"/>
        </w:rPr>
      </w:pPr>
      <w:r>
        <w:rPr>
          <w:color w:val="000000"/>
        </w:rPr>
        <w:t>ФЕДЕРАЛЬНАЯ СЛУЖБА ВОЙСК НАЦИОНАЛЬНОЙ ГВАРДИИ</w:t>
      </w:r>
    </w:p>
    <w:p>
      <w:pPr>
        <w:pStyle w:val="ConsPlusTitle"/>
        <w:ind w:hanging="0" w:left="0" w:right="0"/>
        <w:jc w:val="center"/>
        <w:rPr>
          <w:color w:val="000000"/>
        </w:rPr>
      </w:pPr>
      <w:r>
        <w:rPr>
          <w:color w:val="000000"/>
        </w:rPr>
        <w:t>РОССИЙСКОЙ ФЕДЕРАЦИИ</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ПРИКАЗ</w:t>
      </w:r>
    </w:p>
    <w:p>
      <w:pPr>
        <w:pStyle w:val="ConsPlusTitle"/>
        <w:ind w:hanging="0" w:left="0" w:right="0"/>
        <w:jc w:val="center"/>
        <w:rPr>
          <w:color w:val="000000"/>
        </w:rPr>
      </w:pPr>
      <w:r>
        <w:rPr>
          <w:color w:val="000000"/>
        </w:rPr>
        <w:t>от 28 февраля 2018 г. N 67</w:t>
      </w:r>
    </w:p>
    <w:p>
      <w:pPr>
        <w:pStyle w:val="ConsPlusTitle"/>
        <w:ind w:hanging="0" w:left="0" w:right="0"/>
        <w:jc w:val="center"/>
        <w:rPr>
          <w:color w:val="000000"/>
        </w:rPr>
      </w:pPr>
      <w:r>
        <w:rPr>
          <w:color w:val="000000"/>
        </w:rPr>
      </w:r>
    </w:p>
    <w:p>
      <w:pPr>
        <w:pStyle w:val="ConsPlusTitle"/>
        <w:ind w:hanging="0" w:left="0" w:right="0"/>
        <w:jc w:val="center"/>
        <w:rPr>
          <w:color w:val="000000"/>
        </w:rPr>
      </w:pPr>
      <w:r>
        <w:rPr>
          <w:color w:val="000000"/>
        </w:rPr>
        <w:t>ОБ УТВЕРЖДЕНИИ ПОЛОЖЕНИЯ</w:t>
      </w:r>
    </w:p>
    <w:p>
      <w:pPr>
        <w:pStyle w:val="ConsPlusTitle"/>
        <w:ind w:hanging="0" w:left="0" w:right="0"/>
        <w:jc w:val="center"/>
        <w:rPr>
          <w:color w:val="000000"/>
        </w:rPr>
      </w:pPr>
      <w:r>
        <w:rPr>
          <w:color w:val="000000"/>
        </w:rPr>
        <w:t>О КОМИССИЯХ ОРГАНИЗАЦИЙ, СОЗДАВАЕМЫХ ДЛЯ ВЫПОЛНЕНИЯ ЗАДАЧ,</w:t>
      </w:r>
    </w:p>
    <w:p>
      <w:pPr>
        <w:pStyle w:val="ConsPlusTitle"/>
        <w:ind w:hanging="0" w:left="0" w:right="0"/>
        <w:jc w:val="center"/>
        <w:rPr>
          <w:color w:val="000000"/>
        </w:rPr>
      </w:pPr>
      <w:r>
        <w:rPr>
          <w:color w:val="000000"/>
        </w:rPr>
        <w:t>ПОСТАВЛЕННЫХ ПЕРЕД ФЕДЕРАЛЬНОЙ СЛУЖБОЙ ВОЙСК НАЦИОНАЛЬНОЙ</w:t>
      </w:r>
    </w:p>
    <w:p>
      <w:pPr>
        <w:pStyle w:val="ConsPlusTitle"/>
        <w:ind w:hanging="0" w:left="0" w:right="0"/>
        <w:jc w:val="center"/>
        <w:rPr>
          <w:color w:val="000000"/>
        </w:rPr>
      </w:pPr>
      <w:r>
        <w:rPr>
          <w:color w:val="000000"/>
        </w:rPr>
        <w:t>ГВАРДИИ РОССИЙСКОЙ ФЕДЕРАЦИИ, ПО СОБЛЮДЕНИЮ ТРЕБОВАНИЙ</w:t>
      </w:r>
    </w:p>
    <w:p>
      <w:pPr>
        <w:pStyle w:val="ConsPlusTitle"/>
        <w:ind w:hanging="0" w:left="0" w:right="0"/>
        <w:jc w:val="center"/>
        <w:rPr>
          <w:color w:val="000000"/>
        </w:rPr>
      </w:pPr>
      <w:r>
        <w:rPr>
          <w:color w:val="000000"/>
        </w:rPr>
        <w:t>К СЛУЖЕБНОМУ ПОВЕДЕНИЮ РАБОТНИКОВ И УРЕГУЛИРОВАНИЮ</w:t>
      </w:r>
    </w:p>
    <w:p>
      <w:pPr>
        <w:pStyle w:val="ConsPlusTitle"/>
        <w:ind w:hanging="0" w:left="0" w:right="0"/>
        <w:jc w:val="center"/>
        <w:rPr>
          <w:color w:val="000000"/>
        </w:rPr>
      </w:pPr>
      <w:r>
        <w:rPr>
          <w:color w:val="000000"/>
        </w:rPr>
        <w:t>КОНФЛИКТА ИНТЕРЕСОВ</w:t>
      </w:r>
    </w:p>
    <w:p>
      <w:pPr>
        <w:pStyle w:val="ConsPlusNormal"/>
        <w:jc w:val="left"/>
        <w:rPr>
          <w:color w:val="000000"/>
        </w:rPr>
      </w:pPr>
      <w:r>
        <w:rPr>
          <w:color w:val="000000"/>
        </w:rPr>
      </w:r>
    </w:p>
    <w:tbl>
      <w:tblPr>
        <w:tblW w:w="10207" w:type="dxa"/>
        <w:jc w:val="left"/>
        <w:tblInd w:w="0" w:type="dxa"/>
        <w:tblLayout w:type="fixed"/>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color w:val="000000"/>
              </w:rPr>
            </w:pPr>
            <w:r>
              <w:rPr>
                <w:color w:val="000000"/>
              </w:rPr>
            </w:r>
          </w:p>
        </w:tc>
        <w:tc>
          <w:tcPr>
            <w:tcW w:w="112" w:type="dxa"/>
            <w:tcBorders/>
            <w:shd w:color="auto" w:fill="F4F3F8"/>
          </w:tcPr>
          <w:p>
            <w:pPr>
              <w:pStyle w:val="ConsPlusNormal"/>
              <w:tabs>
                <w:tab w:val="clear" w:pos="720"/>
              </w:tabs>
              <w:jc w:val="left"/>
              <w:rPr>
                <w:color w:val="000000"/>
              </w:rPr>
            </w:pPr>
            <w:r>
              <w:rPr>
                <w:color w:val="000000"/>
              </w:rPr>
            </w:r>
          </w:p>
        </w:tc>
        <w:tc>
          <w:tcPr>
            <w:tcW w:w="9921" w:type="dxa"/>
            <w:tcBorders/>
            <w:shd w:color="auto" w:fill="F4F3F8"/>
            <w:tcMar>
              <w:top w:w="113" w:type="dxa"/>
              <w:bottom w:w="113" w:type="dxa"/>
            </w:tcMar>
          </w:tcPr>
          <w:p>
            <w:pPr>
              <w:pStyle w:val="ConsPlusNormal"/>
              <w:tabs>
                <w:tab w:val="clear" w:pos="720"/>
              </w:tabs>
              <w:ind w:hanging="0" w:left="0" w:right="0"/>
              <w:jc w:val="center"/>
              <w:rPr>
                <w:color w:val="000000"/>
              </w:rPr>
            </w:pPr>
            <w:r>
              <w:rPr>
                <w:color w:val="392C69"/>
              </w:rPr>
              <w:t>Список изменяющих документов</w:t>
            </w:r>
          </w:p>
          <w:p>
            <w:pPr>
              <w:pStyle w:val="ConsPlusNormal"/>
              <w:tabs>
                <w:tab w:val="clear" w:pos="720"/>
              </w:tabs>
              <w:ind w:hanging="0" w:left="0" w:right="0"/>
              <w:jc w:val="center"/>
              <w:rPr>
                <w:color w:val="000000"/>
              </w:rPr>
            </w:pPr>
            <w:r>
              <w:rPr>
                <w:color w:val="392C69"/>
              </w:rPr>
              <w:t>(в ред. Приказов Росгвардии от 18.04.2019 N 125,</w:t>
            </w:r>
          </w:p>
          <w:p>
            <w:pPr>
              <w:pStyle w:val="ConsPlusNormal"/>
              <w:tabs>
                <w:tab w:val="clear" w:pos="720"/>
              </w:tabs>
              <w:ind w:hanging="0" w:left="0" w:right="0"/>
              <w:jc w:val="center"/>
              <w:rPr/>
            </w:pPr>
            <w:r>
              <w:rPr>
                <w:color w:val="392C69"/>
              </w:rPr>
              <w:t>от 11.05.2021 N 161)</w:t>
            </w:r>
          </w:p>
        </w:tc>
        <w:tc>
          <w:tcPr>
            <w:tcW w:w="113" w:type="dxa"/>
            <w:tcBorders/>
            <w:shd w:color="auto" w:fill="F4F3F8"/>
          </w:tcPr>
          <w:p>
            <w:pPr>
              <w:pStyle w:val="ConsPlusNormal"/>
              <w:tabs>
                <w:tab w:val="clear" w:pos="720"/>
              </w:tabs>
              <w:ind w:hanging="0" w:left="0" w:right="0"/>
              <w:jc w:val="center"/>
              <w:rPr>
                <w:color w:val="392C69"/>
              </w:rPr>
            </w:pPr>
            <w:r>
              <w:rPr>
                <w:color w:val="392C69"/>
              </w:rPr>
            </w:r>
          </w:p>
        </w:tc>
      </w:tr>
    </w:tbl>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В соответствии с Федеральным законом от 25 декабря 2008 г. N 273-ФЗ "О противодействии коррупции" &lt;1&gt; и подпунктом "а" пункта 7 Указа Президента Российской Федерации от 1 июля 2010 г. N 821 "О комиссиях по соблюдению требований к служебному поведению федеральных государственных служащих и урегулированию конфликта интересов" &lt;2&gt; приказываю:</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Собрание законодательства Российской Федерации, 2008, N 52, ст. 6228; 2018, N 1, ст. 7.</w:t>
      </w:r>
    </w:p>
    <w:p>
      <w:pPr>
        <w:pStyle w:val="ConsPlusNormal"/>
        <w:spacing w:before="240" w:after="0"/>
        <w:ind w:firstLine="540" w:left="0" w:right="0"/>
        <w:jc w:val="both"/>
        <w:rPr>
          <w:color w:val="000000"/>
        </w:rPr>
      </w:pPr>
      <w:r>
        <w:rPr>
          <w:color w:val="000000"/>
        </w:rPr>
        <w:t>&lt;2&gt; Собрание законодательства Российской Федерации, 2010, N 27, ст. 3446.</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 xml:space="preserve">1. Утвердить прилагаемое </w:t>
      </w:r>
      <w:hyperlink w:anchor="Par47" w:tgtFrame="ПОЛОЖЕНИЕ">
        <w:r>
          <w:rPr>
            <w:color w:val="0000FF"/>
          </w:rPr>
          <w:t>Положение</w:t>
        </w:r>
      </w:hyperlink>
      <w:r>
        <w:rPr>
          <w:color w:val="000000"/>
        </w:rPr>
        <w:t xml:space="preserve"> о комиссиях организаций, создаваемых для выполнения задач, поставленных перед Федеральной службой войск национальной гвардии Российской Федерации, по соблюдению требований к служебному поведению работников и урегулированию конфликта интересов.</w:t>
      </w:r>
    </w:p>
    <w:p>
      <w:pPr>
        <w:pStyle w:val="ConsPlusNormal"/>
        <w:spacing w:before="240" w:after="0"/>
        <w:ind w:firstLine="540" w:left="0" w:right="0"/>
        <w:jc w:val="both"/>
        <w:rPr>
          <w:color w:val="000000"/>
        </w:rPr>
      </w:pPr>
      <w:r>
        <w:rPr>
          <w:color w:val="000000"/>
        </w:rPr>
        <w:t>2. Руководителям организаций, создаваемых для выполнения задач, поставленных перед Федеральной службой войск национальной гвардии Российской Федерации, сформировать комиссии по соблюдению требований к служебному поведению работников и урегулированию конфликта интересов.</w:t>
      </w:r>
    </w:p>
    <w:p>
      <w:pPr>
        <w:pStyle w:val="ConsPlusNormal"/>
        <w:ind w:firstLine="540" w:left="0" w:right="0"/>
        <w:jc w:val="both"/>
        <w:rPr>
          <w:color w:val="000000"/>
        </w:rPr>
      </w:pPr>
      <w:r>
        <w:rPr>
          <w:color w:val="000000"/>
        </w:rPr>
      </w:r>
    </w:p>
    <w:p>
      <w:pPr>
        <w:pStyle w:val="ConsPlusNormal"/>
        <w:ind w:hanging="0" w:left="0" w:right="0"/>
        <w:jc w:val="right"/>
        <w:rPr>
          <w:color w:val="000000"/>
        </w:rPr>
      </w:pPr>
      <w:r>
        <w:rPr>
          <w:color w:val="000000"/>
        </w:rPr>
        <w:t>Врио директора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 -</w:t>
      </w:r>
    </w:p>
    <w:p>
      <w:pPr>
        <w:pStyle w:val="ConsPlusNormal"/>
        <w:ind w:hanging="0" w:left="0" w:right="0"/>
        <w:jc w:val="right"/>
        <w:rPr>
          <w:color w:val="000000"/>
        </w:rPr>
      </w:pPr>
      <w:r>
        <w:rPr>
          <w:color w:val="000000"/>
        </w:rPr>
        <w:t>главнокомандующего войсками</w:t>
      </w:r>
    </w:p>
    <w:p>
      <w:pPr>
        <w:pStyle w:val="ConsPlusNormal"/>
        <w:ind w:hanging="0" w:left="0" w:right="0"/>
        <w:jc w:val="right"/>
        <w:rPr>
          <w:color w:val="000000"/>
        </w:rPr>
      </w:pPr>
      <w:r>
        <w:rPr>
          <w:color w:val="000000"/>
        </w:rPr>
        <w:t>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генерал-полковник</w:t>
      </w:r>
    </w:p>
    <w:p>
      <w:pPr>
        <w:pStyle w:val="ConsPlusNormal"/>
        <w:ind w:hanging="0" w:left="0" w:right="0"/>
        <w:jc w:val="right"/>
        <w:rPr>
          <w:color w:val="000000"/>
        </w:rPr>
      </w:pPr>
      <w:r>
        <w:rPr>
          <w:color w:val="000000"/>
        </w:rPr>
        <w:t>С.МЕЛИКОВ</w:t>
      </w:r>
    </w:p>
    <w:p>
      <w:pPr>
        <w:pStyle w:val="ConsPlusNormal"/>
        <w:ind w:hanging="0" w:left="0" w:right="0"/>
        <w:jc w:val="right"/>
        <w:rPr>
          <w:color w:val="000000"/>
        </w:rPr>
      </w:pPr>
      <w:r>
        <w:rPr>
          <w:color w:val="000000"/>
        </w:rPr>
      </w:r>
    </w:p>
    <w:p>
      <w:pPr>
        <w:pStyle w:val="ConsPlusNormal"/>
        <w:ind w:hanging="0" w:left="0" w:right="0"/>
        <w:jc w:val="right"/>
        <w:rPr>
          <w:color w:val="000000"/>
        </w:rPr>
      </w:pPr>
      <w:r>
        <w:rPr>
          <w:color w:val="000000"/>
        </w:rPr>
      </w:r>
    </w:p>
    <w:p>
      <w:pPr>
        <w:pStyle w:val="ConsPlusNormal"/>
        <w:ind w:hanging="0" w:left="0" w:right="0"/>
        <w:jc w:val="right"/>
        <w:rPr>
          <w:color w:val="000000"/>
        </w:rPr>
      </w:pPr>
      <w:r>
        <w:rPr>
          <w:color w:val="000000"/>
        </w:rPr>
      </w:r>
    </w:p>
    <w:p>
      <w:pPr>
        <w:pStyle w:val="ConsPlusNormal"/>
        <w:ind w:hanging="0" w:left="0" w:right="0"/>
        <w:jc w:val="right"/>
        <w:rPr>
          <w:color w:val="000000"/>
        </w:rPr>
      </w:pPr>
      <w:r>
        <w:rPr>
          <w:color w:val="000000"/>
        </w:rPr>
      </w:r>
    </w:p>
    <w:p>
      <w:pPr>
        <w:pStyle w:val="ConsPlusNormal"/>
        <w:ind w:hanging="0" w:left="0" w:right="0"/>
        <w:jc w:val="right"/>
        <w:rPr>
          <w:color w:val="000000"/>
        </w:rPr>
      </w:pPr>
      <w:r>
        <w:rPr>
          <w:color w:val="000000"/>
        </w:rPr>
      </w:r>
    </w:p>
    <w:p>
      <w:pPr>
        <w:pStyle w:val="ConsPlusNormal"/>
        <w:ind w:hanging="0" w:left="0" w:right="0"/>
        <w:jc w:val="right"/>
        <w:rPr>
          <w:color w:val="000000"/>
        </w:rPr>
      </w:pPr>
      <w:r>
        <w:rPr>
          <w:color w:val="000000"/>
        </w:rPr>
        <w:t>Приложение</w:t>
      </w:r>
    </w:p>
    <w:p>
      <w:pPr>
        <w:pStyle w:val="ConsPlusNormal"/>
        <w:ind w:hanging="0" w:left="0" w:right="0"/>
        <w:jc w:val="right"/>
        <w:rPr>
          <w:color w:val="000000"/>
        </w:rPr>
      </w:pPr>
      <w:r>
        <w:rPr>
          <w:color w:val="000000"/>
        </w:rPr>
        <w:t>к приказу Федеральной службы</w:t>
      </w:r>
    </w:p>
    <w:p>
      <w:pPr>
        <w:pStyle w:val="ConsPlusNormal"/>
        <w:ind w:hanging="0" w:left="0" w:right="0"/>
        <w:jc w:val="right"/>
        <w:rPr>
          <w:color w:val="000000"/>
        </w:rPr>
      </w:pPr>
      <w:r>
        <w:rPr>
          <w:color w:val="000000"/>
        </w:rPr>
        <w:t>войск национальной гвардии</w:t>
      </w:r>
    </w:p>
    <w:p>
      <w:pPr>
        <w:pStyle w:val="ConsPlusNormal"/>
        <w:ind w:hanging="0" w:left="0" w:right="0"/>
        <w:jc w:val="right"/>
        <w:rPr>
          <w:color w:val="000000"/>
        </w:rPr>
      </w:pPr>
      <w:r>
        <w:rPr>
          <w:color w:val="000000"/>
        </w:rPr>
        <w:t>Российской Федерации</w:t>
      </w:r>
    </w:p>
    <w:p>
      <w:pPr>
        <w:pStyle w:val="ConsPlusNormal"/>
        <w:ind w:hanging="0" w:left="0" w:right="0"/>
        <w:jc w:val="right"/>
        <w:rPr>
          <w:color w:val="000000"/>
        </w:rPr>
      </w:pPr>
      <w:r>
        <w:rPr>
          <w:color w:val="000000"/>
        </w:rPr>
        <w:t>от 28.02.2018 N 67</w:t>
      </w:r>
    </w:p>
    <w:p>
      <w:pPr>
        <w:pStyle w:val="ConsPlusNormal"/>
        <w:ind w:hanging="0" w:left="0" w:right="0"/>
        <w:jc w:val="right"/>
        <w:rPr>
          <w:color w:val="000000"/>
        </w:rPr>
      </w:pPr>
      <w:r>
        <w:rPr>
          <w:color w:val="000000"/>
        </w:rPr>
      </w:r>
    </w:p>
    <w:p>
      <w:pPr>
        <w:pStyle w:val="ConsPlusTitle"/>
        <w:ind w:hanging="0" w:left="0" w:right="0"/>
        <w:jc w:val="center"/>
        <w:rPr>
          <w:color w:val="000000"/>
        </w:rPr>
      </w:pPr>
      <w:bookmarkStart w:id="0" w:name="Par47"/>
      <w:bookmarkEnd w:id="0"/>
      <w:r>
        <w:rPr>
          <w:color w:val="000000"/>
        </w:rPr>
        <w:t>ПОЛОЖЕНИЕ</w:t>
      </w:r>
    </w:p>
    <w:p>
      <w:pPr>
        <w:pStyle w:val="ConsPlusTitle"/>
        <w:ind w:hanging="0" w:left="0" w:right="0"/>
        <w:jc w:val="center"/>
        <w:rPr>
          <w:color w:val="000000"/>
        </w:rPr>
      </w:pPr>
      <w:r>
        <w:rPr>
          <w:color w:val="000000"/>
        </w:rPr>
        <w:t>О КОМИССИЯХ ОРГАНИЗАЦИЙ, СОЗДАВАЕМЫХ ДЛЯ ВЫПОЛНЕНИЯ ЗАДАЧ,</w:t>
      </w:r>
    </w:p>
    <w:p>
      <w:pPr>
        <w:pStyle w:val="ConsPlusTitle"/>
        <w:ind w:hanging="0" w:left="0" w:right="0"/>
        <w:jc w:val="center"/>
        <w:rPr>
          <w:color w:val="000000"/>
        </w:rPr>
      </w:pPr>
      <w:r>
        <w:rPr>
          <w:color w:val="000000"/>
        </w:rPr>
        <w:t>ПОСТАВЛЕННЫХ ПЕРЕД ФЕДЕРАЛЬНОЙ СЛУЖБОЙ ВОЙСК НАЦИОНАЛЬНОЙ</w:t>
      </w:r>
    </w:p>
    <w:p>
      <w:pPr>
        <w:pStyle w:val="ConsPlusTitle"/>
        <w:ind w:hanging="0" w:left="0" w:right="0"/>
        <w:jc w:val="center"/>
        <w:rPr>
          <w:color w:val="000000"/>
        </w:rPr>
      </w:pPr>
      <w:r>
        <w:rPr>
          <w:color w:val="000000"/>
        </w:rPr>
        <w:t>ГВАРДИИ РОССИЙСКОЙ ФЕДЕРАЦИИ, ПО СОБЛЮДЕНИЮ ТРЕБОВАНИЙ</w:t>
      </w:r>
    </w:p>
    <w:p>
      <w:pPr>
        <w:pStyle w:val="ConsPlusTitle"/>
        <w:ind w:hanging="0" w:left="0" w:right="0"/>
        <w:jc w:val="center"/>
        <w:rPr>
          <w:color w:val="000000"/>
        </w:rPr>
      </w:pPr>
      <w:r>
        <w:rPr>
          <w:color w:val="000000"/>
        </w:rPr>
        <w:t>К СЛУЖЕБНОМУ ПОВЕДЕНИЮ РАБОТНИКОВ И УРЕГУЛИРОВАНИЮ</w:t>
      </w:r>
    </w:p>
    <w:p>
      <w:pPr>
        <w:pStyle w:val="ConsPlusTitle"/>
        <w:ind w:hanging="0" w:left="0" w:right="0"/>
        <w:jc w:val="center"/>
        <w:rPr>
          <w:color w:val="000000"/>
        </w:rPr>
      </w:pPr>
      <w:r>
        <w:rPr>
          <w:color w:val="000000"/>
        </w:rPr>
        <w:t>КОНФЛИКТА ИНТЕРЕСОВ</w:t>
      </w:r>
    </w:p>
    <w:p>
      <w:pPr>
        <w:pStyle w:val="ConsPlusNormal"/>
        <w:jc w:val="left"/>
        <w:rPr>
          <w:color w:val="000000"/>
        </w:rPr>
      </w:pPr>
      <w:r>
        <w:rPr>
          <w:color w:val="000000"/>
        </w:rPr>
      </w:r>
    </w:p>
    <w:tbl>
      <w:tblPr>
        <w:tblW w:w="10207" w:type="dxa"/>
        <w:jc w:val="left"/>
        <w:tblInd w:w="0" w:type="dxa"/>
        <w:tblLayout w:type="fixed"/>
        <w:tblCellMar>
          <w:top w:w="0" w:type="dxa"/>
          <w:left w:w="0" w:type="dxa"/>
          <w:bottom w:w="0" w:type="dxa"/>
          <w:right w:w="0" w:type="dxa"/>
        </w:tblCellMar>
      </w:tblPr>
      <w:tblGrid>
        <w:gridCol w:w="60"/>
        <w:gridCol w:w="112"/>
        <w:gridCol w:w="9921"/>
        <w:gridCol w:w="113"/>
      </w:tblGrid>
      <w:tr>
        <w:trPr/>
        <w:tc>
          <w:tcPr>
            <w:tcW w:w="60" w:type="dxa"/>
            <w:tcBorders/>
            <w:shd w:color="auto" w:fill="CED3F1"/>
          </w:tcPr>
          <w:p>
            <w:pPr>
              <w:pStyle w:val="ConsPlusNormal"/>
              <w:tabs>
                <w:tab w:val="clear" w:pos="720"/>
              </w:tabs>
              <w:jc w:val="left"/>
              <w:rPr>
                <w:color w:val="000000"/>
              </w:rPr>
            </w:pPr>
            <w:r>
              <w:rPr>
                <w:color w:val="000000"/>
              </w:rPr>
            </w:r>
          </w:p>
        </w:tc>
        <w:tc>
          <w:tcPr>
            <w:tcW w:w="112" w:type="dxa"/>
            <w:tcBorders/>
            <w:shd w:color="auto" w:fill="F4F3F8"/>
          </w:tcPr>
          <w:p>
            <w:pPr>
              <w:pStyle w:val="ConsPlusNormal"/>
              <w:tabs>
                <w:tab w:val="clear" w:pos="720"/>
              </w:tabs>
              <w:jc w:val="left"/>
              <w:rPr>
                <w:color w:val="000000"/>
              </w:rPr>
            </w:pPr>
            <w:r>
              <w:rPr>
                <w:color w:val="000000"/>
              </w:rPr>
            </w:r>
          </w:p>
        </w:tc>
        <w:tc>
          <w:tcPr>
            <w:tcW w:w="9921" w:type="dxa"/>
            <w:tcBorders/>
            <w:shd w:color="auto" w:fill="F4F3F8"/>
            <w:tcMar>
              <w:top w:w="113" w:type="dxa"/>
              <w:bottom w:w="113" w:type="dxa"/>
            </w:tcMar>
          </w:tcPr>
          <w:p>
            <w:pPr>
              <w:pStyle w:val="ConsPlusNormal"/>
              <w:tabs>
                <w:tab w:val="clear" w:pos="720"/>
              </w:tabs>
              <w:ind w:hanging="0" w:left="0" w:right="0"/>
              <w:jc w:val="center"/>
              <w:rPr>
                <w:color w:val="000000"/>
              </w:rPr>
            </w:pPr>
            <w:r>
              <w:rPr>
                <w:color w:val="392C69"/>
              </w:rPr>
              <w:t>Список изменяющих документов</w:t>
            </w:r>
          </w:p>
          <w:p>
            <w:pPr>
              <w:pStyle w:val="ConsPlusNormal"/>
              <w:tabs>
                <w:tab w:val="clear" w:pos="720"/>
              </w:tabs>
              <w:ind w:hanging="0" w:left="0" w:right="0"/>
              <w:jc w:val="center"/>
              <w:rPr>
                <w:color w:val="000000"/>
              </w:rPr>
            </w:pPr>
            <w:r>
              <w:rPr>
                <w:color w:val="392C69"/>
              </w:rPr>
              <w:t>(в ред. Приказов Росгвардии от 18.04.2019 N 125,</w:t>
            </w:r>
          </w:p>
          <w:p>
            <w:pPr>
              <w:pStyle w:val="ConsPlusNormal"/>
              <w:tabs>
                <w:tab w:val="clear" w:pos="720"/>
              </w:tabs>
              <w:ind w:hanging="0" w:left="0" w:right="0"/>
              <w:jc w:val="center"/>
              <w:rPr/>
            </w:pPr>
            <w:r>
              <w:rPr>
                <w:color w:val="392C69"/>
              </w:rPr>
              <w:t>от 11.05.2021 N 161)</w:t>
            </w:r>
          </w:p>
        </w:tc>
        <w:tc>
          <w:tcPr>
            <w:tcW w:w="113" w:type="dxa"/>
            <w:tcBorders/>
            <w:shd w:color="auto" w:fill="F4F3F8"/>
          </w:tcPr>
          <w:p>
            <w:pPr>
              <w:pStyle w:val="ConsPlusNormal"/>
              <w:tabs>
                <w:tab w:val="clear" w:pos="720"/>
              </w:tabs>
              <w:ind w:hanging="0" w:left="0" w:right="0"/>
              <w:jc w:val="center"/>
              <w:rPr>
                <w:color w:val="392C69"/>
              </w:rPr>
            </w:pPr>
            <w:r>
              <w:rPr>
                <w:color w:val="392C69"/>
              </w:rPr>
            </w:r>
          </w:p>
        </w:tc>
      </w:tr>
    </w:tbl>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1. Настоящим Положением определяется порядок формирования и деятельности комиссий организаций, создаваемых для выполнения задач, поставленных перед Федеральной службой войск национальной гвардии Российской Федерации &lt;1&gt;, по соблюдению требований к служебному поведению и урегулированию конфликта интересов &lt;2&gt; работников, замещающих отдельные должности на основании трудового договора в организациях &lt;3&gt;.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Далее - "организации".</w:t>
      </w:r>
    </w:p>
    <w:p>
      <w:pPr>
        <w:pStyle w:val="ConsPlusNormal"/>
        <w:spacing w:before="240" w:after="0"/>
        <w:ind w:firstLine="540" w:left="0" w:right="0"/>
        <w:jc w:val="both"/>
        <w:rPr>
          <w:color w:val="000000"/>
        </w:rPr>
      </w:pPr>
      <w:r>
        <w:rPr>
          <w:color w:val="000000"/>
        </w:rPr>
        <w:t>&lt;2&gt; Далее - "комиссия".</w:t>
      </w:r>
    </w:p>
    <w:p>
      <w:pPr>
        <w:pStyle w:val="ConsPlusNormal"/>
        <w:spacing w:before="240" w:after="0"/>
        <w:ind w:firstLine="540" w:left="0" w:right="0"/>
        <w:jc w:val="both"/>
        <w:rPr>
          <w:color w:val="000000"/>
        </w:rPr>
      </w:pPr>
      <w:r>
        <w:rPr>
          <w:color w:val="000000"/>
        </w:rPr>
        <w:t>&lt;3&gt; Далее - "работники".</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2. Комиссия в своей деятельности руководствуется Конституцией Российской Федерации, федеральными конституционными законами, федеральными законами, актами Президента Российской Федерации, Правительства Российской Федерации и Росгвардии, а также настоящим Положением.</w:t>
      </w:r>
    </w:p>
    <w:p>
      <w:pPr>
        <w:pStyle w:val="ConsPlusNormal"/>
        <w:spacing w:before="240" w:after="0"/>
        <w:ind w:firstLine="540" w:left="0" w:right="0"/>
        <w:jc w:val="both"/>
        <w:rPr>
          <w:color w:val="000000"/>
        </w:rPr>
      </w:pPr>
      <w:r>
        <w:rPr>
          <w:color w:val="000000"/>
        </w:rPr>
        <w:t>3. Основной задачей комиссии является содействие Росгвардии и организации:</w:t>
      </w:r>
    </w:p>
    <w:p>
      <w:pPr>
        <w:pStyle w:val="ConsPlusNormal"/>
        <w:spacing w:before="240" w:after="0"/>
        <w:ind w:firstLine="540" w:left="0" w:right="0"/>
        <w:jc w:val="both"/>
        <w:rPr>
          <w:color w:val="000000"/>
        </w:rPr>
      </w:pPr>
      <w:r>
        <w:rPr>
          <w:color w:val="000000"/>
        </w:rPr>
        <w:t>а) в обеспечении соблюдения работниками организации ограничений и запретов, требований о предотвращении или урегулировании конфликта интересов, а также исполнения ими обязанностей, установленных Федеральным законом от 25 декабря 2008 г. N 273-ФЗ "О противодействии коррупции" &lt;4&gt;, другими федеральными законами &lt;5&gt;;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&lt;4&gt; Собрание законодательства Российской Федерации, 2008, N 52, ст. 6228; 2018, N 1, ст. 7. Далее - "Федеральный закон "О противодействии коррупции".</w:t>
      </w:r>
    </w:p>
    <w:p>
      <w:pPr>
        <w:pStyle w:val="ConsPlusNormal"/>
        <w:spacing w:before="240" w:after="0"/>
        <w:ind w:firstLine="540" w:left="0" w:right="0"/>
        <w:jc w:val="both"/>
        <w:rPr>
          <w:color w:val="000000"/>
        </w:rPr>
      </w:pPr>
      <w:r>
        <w:rPr>
          <w:color w:val="000000"/>
        </w:rPr>
        <w:t>&lt;5&gt; Далее - "требования к служебному поведению и (или) требования об урегулировании конфликта интересов".</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t>б) в осуществлении мер по предупреждению коррупции.</w:t>
      </w:r>
    </w:p>
    <w:p>
      <w:pPr>
        <w:pStyle w:val="ConsPlusNormal"/>
        <w:spacing w:before="240" w:after="0"/>
        <w:ind w:firstLine="540" w:left="0" w:right="0"/>
        <w:jc w:val="both"/>
        <w:rPr>
          <w:color w:val="000000"/>
        </w:rPr>
      </w:pPr>
      <w:r>
        <w:rPr>
          <w:color w:val="000000"/>
        </w:rPr>
        <w:t>4. Комиссия рассматривает вопросы, связанные с соблюдением требований к служебному поведению и (или) требований об урегулировании конфликта интересов, в отношении работников организации (за исключением работников, замещающих должности, назначение на которые осуществляет директор Федеральной службы войск национальной гвардии Российской Федерации - главнокомандующий войсками национальной гвардии Российской Федерации).</w:t>
      </w:r>
    </w:p>
    <w:p>
      <w:pPr>
        <w:pStyle w:val="ConsPlusNormal"/>
        <w:spacing w:before="240" w:after="0"/>
        <w:ind w:firstLine="540" w:left="0" w:right="0"/>
        <w:jc w:val="both"/>
        <w:rPr>
          <w:color w:val="000000"/>
        </w:rPr>
      </w:pPr>
      <w:r>
        <w:rPr>
          <w:color w:val="000000"/>
        </w:rPr>
        <w:t>5. Комиссия не рассматривает сообщения (заявления) о преступлениях и административных правонарушениях, а также анонимные обращения, не проводит проверки по фактам нарушения трудовой дисциплины.</w:t>
      </w:r>
    </w:p>
    <w:p>
      <w:pPr>
        <w:pStyle w:val="ConsPlusNormal"/>
        <w:spacing w:before="240" w:after="0"/>
        <w:ind w:firstLine="540" w:left="0" w:right="0"/>
        <w:jc w:val="both"/>
        <w:rPr>
          <w:color w:val="000000"/>
        </w:rPr>
      </w:pPr>
      <w:r>
        <w:rPr>
          <w:color w:val="000000"/>
        </w:rPr>
        <w:t>6. Численный и персональный состав комиссии утверждается приказом руководителя организации.</w:t>
      </w:r>
    </w:p>
    <w:p>
      <w:pPr>
        <w:pStyle w:val="ConsPlusNormal"/>
        <w:spacing w:before="240" w:after="0"/>
        <w:ind w:firstLine="540" w:left="0" w:right="0"/>
        <w:jc w:val="both"/>
        <w:rPr>
          <w:color w:val="000000"/>
        </w:rPr>
      </w:pPr>
      <w:r>
        <w:rPr>
          <w:color w:val="000000"/>
        </w:rPr>
        <w:t>7. Комиссия состоит из председателя, заместителя председателя, назначаемого из числа членов комиссии, секретаря и других членов комиссии. Все члены комиссии при принятии решений обладают равными правами. В отсутствие председателя комиссии его обязанности исполняет заместитель председателя комиссии.</w:t>
      </w:r>
    </w:p>
    <w:p>
      <w:pPr>
        <w:pStyle w:val="ConsPlusNormal"/>
        <w:spacing w:before="240" w:after="0"/>
        <w:ind w:firstLine="540" w:left="0" w:right="0"/>
        <w:jc w:val="both"/>
        <w:rPr>
          <w:color w:val="000000"/>
        </w:rPr>
      </w:pPr>
      <w:r>
        <w:rPr>
          <w:color w:val="000000"/>
        </w:rPr>
        <w:t>8. В состав комиссии входят:</w:t>
      </w:r>
    </w:p>
    <w:p>
      <w:pPr>
        <w:pStyle w:val="ConsPlusNormal"/>
        <w:spacing w:before="240" w:after="0"/>
        <w:ind w:firstLine="540" w:left="0" w:right="0"/>
        <w:jc w:val="both"/>
        <w:rPr>
          <w:color w:val="000000"/>
        </w:rPr>
      </w:pPr>
      <w:r>
        <w:rPr>
          <w:color w:val="000000"/>
        </w:rPr>
        <w:t>а) заместитель руководителя организации (председатель комиссии), начальник подразделения по профилактике коррупционных и иных правонарушений либо должностное лицо, ответственное за работу по профилактике коррупционных и иных правонарушений &lt;1&gt; (секретарь комиссии), представители подразделения по кадровому обеспечению, правового подразделения, других подразделений организации, определяемые ее руководителем;</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Далее - "подразделение (должностное лицо) организации по профилактике коррупционных правонарушений".</w:t>
      </w:r>
    </w:p>
    <w:p>
      <w:pPr>
        <w:pStyle w:val="ConsPlusNormal"/>
        <w:ind w:firstLine="540" w:left="0" w:right="0"/>
        <w:jc w:val="both"/>
        <w:rPr>
          <w:color w:val="000000"/>
        </w:rPr>
      </w:pPr>
      <w:r>
        <w:rPr>
          <w:color w:val="000000"/>
        </w:rPr>
      </w:r>
    </w:p>
    <w:p>
      <w:pPr>
        <w:pStyle w:val="ConsPlusNormal"/>
        <w:ind w:firstLine="540" w:left="0" w:right="0"/>
        <w:jc w:val="both"/>
        <w:rPr>
          <w:color w:val="000000"/>
        </w:rPr>
      </w:pPr>
      <w:bookmarkStart w:id="1" w:name="Par80"/>
      <w:bookmarkEnd w:id="1"/>
      <w:r>
        <w:rPr>
          <w:color w:val="000000"/>
        </w:rPr>
        <w:t>б) представитель (представители) научных организаций и образовательных организаций среднего, высшего образования и (или) организаций дополнительного профессионального образования, деятельность которых связана с государственной службой.</w:t>
      </w:r>
    </w:p>
    <w:p>
      <w:pPr>
        <w:pStyle w:val="ConsPlusNormal"/>
        <w:spacing w:before="240" w:after="0"/>
        <w:ind w:firstLine="540" w:left="0" w:right="0"/>
        <w:jc w:val="both"/>
        <w:rPr>
          <w:color w:val="000000"/>
        </w:rPr>
      </w:pPr>
      <w:bookmarkStart w:id="2" w:name="Par81"/>
      <w:bookmarkEnd w:id="2"/>
      <w:r>
        <w:rPr>
          <w:color w:val="000000"/>
        </w:rPr>
        <w:t>9. Руководитель организации может принять решение о включении в состав комиссии:</w:t>
      </w:r>
    </w:p>
    <w:p>
      <w:pPr>
        <w:pStyle w:val="ConsPlusNormal"/>
        <w:spacing w:before="240" w:after="0"/>
        <w:ind w:firstLine="540" w:left="0" w:right="0"/>
        <w:jc w:val="both"/>
        <w:rPr>
          <w:color w:val="000000"/>
        </w:rPr>
      </w:pPr>
      <w:r>
        <w:rPr>
          <w:color w:val="000000"/>
        </w:rPr>
        <w:t>а) представителя общественной организации ветеранов;</w:t>
      </w:r>
    </w:p>
    <w:p>
      <w:pPr>
        <w:pStyle w:val="ConsPlusNormal"/>
        <w:spacing w:before="240" w:after="0"/>
        <w:ind w:firstLine="540" w:left="0" w:right="0"/>
        <w:jc w:val="both"/>
        <w:rPr>
          <w:color w:val="000000"/>
        </w:rPr>
      </w:pPr>
      <w:r>
        <w:rPr>
          <w:color w:val="000000"/>
        </w:rPr>
        <w:t>б) представителя профсоюзной организации.</w:t>
      </w:r>
    </w:p>
    <w:p>
      <w:pPr>
        <w:pStyle w:val="ConsPlusNormal"/>
        <w:spacing w:before="240" w:after="0"/>
        <w:ind w:firstLine="540" w:left="0" w:right="0"/>
        <w:jc w:val="both"/>
        <w:rPr>
          <w:color w:val="000000"/>
        </w:rPr>
      </w:pPr>
      <w:r>
        <w:rPr>
          <w:color w:val="000000"/>
        </w:rPr>
        <w:t xml:space="preserve">10. Лица, указанные в </w:t>
      </w:r>
      <w:hyperlink w:anchor="Par80" w:tgtFrame="б) представитель (представители) научных организаций и образовательных организаций среднего, высшего образования и (или) организаций дополнительного профессионального образования, деятельность которых связана с государственной службой.">
        <w:r>
          <w:rPr>
            <w:color w:val="0000FF"/>
          </w:rPr>
          <w:t>подпункте "б" пункта 8</w:t>
        </w:r>
      </w:hyperlink>
      <w:r>
        <w:rPr>
          <w:color w:val="000000"/>
        </w:rPr>
        <w:t xml:space="preserve"> и в </w:t>
      </w:r>
      <w:hyperlink w:anchor="Par81" w:tgtFrame="9. Руководитель организации может принять решение о включении в состав комиссии:">
        <w:r>
          <w:rPr>
            <w:color w:val="0000FF"/>
          </w:rPr>
          <w:t>пункте 9</w:t>
        </w:r>
      </w:hyperlink>
      <w:r>
        <w:rPr>
          <w:color w:val="000000"/>
        </w:rPr>
        <w:t xml:space="preserve"> настоящего Положения, включаются в состав комиссии по согласованию с научными организациями и образовательными организациями среднего, высшего и (или) дополнительного профессионального образования, общественной организацией ветеранов, профсоюзной организацией на основании запроса руководителя организации.</w:t>
      </w:r>
    </w:p>
    <w:p>
      <w:pPr>
        <w:pStyle w:val="ConsPlusNormal"/>
        <w:spacing w:before="240" w:after="0"/>
        <w:ind w:firstLine="540" w:left="0" w:right="0"/>
        <w:jc w:val="both"/>
        <w:rPr>
          <w:color w:val="000000"/>
        </w:rPr>
      </w:pPr>
      <w:r>
        <w:rPr>
          <w:color w:val="000000"/>
        </w:rPr>
        <w:t>11. Число членов комиссии, не замещающих должности в организации, должно составлять не менее одной четверти от общего числа членов комиссии.</w:t>
      </w:r>
    </w:p>
    <w:p>
      <w:pPr>
        <w:pStyle w:val="ConsPlusNormal"/>
        <w:spacing w:before="240" w:after="0"/>
        <w:ind w:firstLine="540" w:left="0" w:right="0"/>
        <w:jc w:val="both"/>
        <w:rPr>
          <w:color w:val="000000"/>
        </w:rPr>
      </w:pPr>
      <w:r>
        <w:rPr>
          <w:color w:val="000000"/>
        </w:rPr>
        <w:t>12. Состав комиссии формируется таким образом, чтобы исключить возможность возникновения конфликта интересов, который мог бы повлиять на принимаемые комиссией решения.</w:t>
      </w:r>
    </w:p>
    <w:p>
      <w:pPr>
        <w:pStyle w:val="ConsPlusNormal"/>
        <w:spacing w:before="240" w:after="0"/>
        <w:ind w:firstLine="540" w:left="0" w:right="0"/>
        <w:jc w:val="both"/>
        <w:rPr>
          <w:color w:val="000000"/>
        </w:rPr>
      </w:pPr>
      <w:r>
        <w:rPr>
          <w:color w:val="000000"/>
        </w:rPr>
        <w:t>13. В заседаниях комиссии с правом совещательного голоса принимают участие:</w:t>
      </w:r>
    </w:p>
    <w:p>
      <w:pPr>
        <w:pStyle w:val="ConsPlusNormal"/>
        <w:spacing w:before="240" w:after="0"/>
        <w:ind w:firstLine="540" w:left="0" w:right="0"/>
        <w:jc w:val="both"/>
        <w:rPr>
          <w:color w:val="000000"/>
        </w:rPr>
      </w:pPr>
      <w:r>
        <w:rPr>
          <w:color w:val="000000"/>
        </w:rPr>
        <w:t>а) непосредственный руководитель работника организации, в 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 и определяемые председателем комиссии два работника организации, замещающие должности и имеющие аналогичные трудовые обязанности с работником организации, в отношении которого комиссией рассматривается этот вопрос;</w:t>
      </w:r>
    </w:p>
    <w:p>
      <w:pPr>
        <w:pStyle w:val="ConsPlusNormal"/>
        <w:spacing w:before="240" w:after="0"/>
        <w:ind w:firstLine="540" w:left="0" w:right="0"/>
        <w:jc w:val="both"/>
        <w:rPr>
          <w:color w:val="000000"/>
        </w:rPr>
      </w:pPr>
      <w:bookmarkStart w:id="3" w:name="Par89"/>
      <w:bookmarkEnd w:id="3"/>
      <w:r>
        <w:rPr>
          <w:color w:val="000000"/>
        </w:rPr>
        <w:t>б) по решению председателя комиссии, принимаемому в каждом конкретном случае отдельно не менее чем за три дня до даты заседания комиссии на основании ходатайства работника организации, в отношении которого комиссией рассматривается этот вопрос, или любого члена комиссии:</w:t>
      </w:r>
    </w:p>
    <w:p>
      <w:pPr>
        <w:pStyle w:val="ConsPlusNormal"/>
        <w:spacing w:before="240" w:after="0"/>
        <w:ind w:firstLine="540" w:left="0" w:right="0"/>
        <w:jc w:val="both"/>
        <w:rPr>
          <w:color w:val="000000"/>
        </w:rPr>
      </w:pPr>
      <w:r>
        <w:rPr>
          <w:color w:val="000000"/>
        </w:rPr>
        <w:t>другие работники организации;</w:t>
      </w:r>
    </w:p>
    <w:p>
      <w:pPr>
        <w:pStyle w:val="ConsPlusNormal"/>
        <w:spacing w:before="240" w:after="0"/>
        <w:ind w:firstLine="540" w:left="0" w:right="0"/>
        <w:jc w:val="both"/>
        <w:rPr>
          <w:color w:val="000000"/>
        </w:rPr>
      </w:pPr>
      <w:r>
        <w:rPr>
          <w:color w:val="000000"/>
        </w:rPr>
        <w:t>специалисты, которые могут дать пояснения по рассматриваемым комиссией вопросам;</w:t>
      </w:r>
    </w:p>
    <w:p>
      <w:pPr>
        <w:pStyle w:val="ConsPlusNormal"/>
        <w:spacing w:before="240" w:after="0"/>
        <w:ind w:firstLine="540" w:left="0" w:right="0"/>
        <w:jc w:val="both"/>
        <w:rPr>
          <w:color w:val="000000"/>
        </w:rPr>
      </w:pPr>
      <w:r>
        <w:rPr>
          <w:color w:val="000000"/>
        </w:rPr>
        <w:t>должностные лица других государственных органов, органов местного самоуправления;</w:t>
      </w:r>
    </w:p>
    <w:p>
      <w:pPr>
        <w:pStyle w:val="ConsPlusNormal"/>
        <w:spacing w:before="240" w:after="0"/>
        <w:ind w:firstLine="540" w:left="0" w:right="0"/>
        <w:jc w:val="both"/>
        <w:rPr>
          <w:color w:val="000000"/>
        </w:rPr>
      </w:pPr>
      <w:r>
        <w:rPr>
          <w:color w:val="000000"/>
        </w:rPr>
        <w:t>представители заинтересованных организаций;</w:t>
      </w:r>
    </w:p>
    <w:p>
      <w:pPr>
        <w:pStyle w:val="ConsPlusNormal"/>
        <w:spacing w:before="240" w:after="0"/>
        <w:ind w:firstLine="540" w:left="0" w:right="0"/>
        <w:jc w:val="both"/>
        <w:rPr>
          <w:color w:val="000000"/>
        </w:rPr>
      </w:pPr>
      <w:r>
        <w:rPr>
          <w:color w:val="000000"/>
        </w:rPr>
        <w:t>представитель работника организации, в 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w:t>
      </w:r>
    </w:p>
    <w:p>
      <w:pPr>
        <w:pStyle w:val="ConsPlusNormal"/>
        <w:spacing w:before="240" w:after="0"/>
        <w:ind w:firstLine="540" w:left="0" w:right="0"/>
        <w:jc w:val="both"/>
        <w:rPr>
          <w:color w:val="000000"/>
        </w:rPr>
      </w:pPr>
      <w:r>
        <w:rPr>
          <w:color w:val="000000"/>
        </w:rPr>
        <w:t>14. Заседание комиссии считается правомочным, если на нем присутствует не менее двух третей от общего числа членов комиссии. Проведение заседаний с участием только членов комиссии, замещающих должности в организации, не допускается.</w:t>
      </w:r>
    </w:p>
    <w:p>
      <w:pPr>
        <w:pStyle w:val="ConsPlusNormal"/>
        <w:spacing w:before="240" w:after="0"/>
        <w:ind w:firstLine="540" w:left="0" w:right="0"/>
        <w:jc w:val="both"/>
        <w:rPr>
          <w:color w:val="000000"/>
        </w:rPr>
      </w:pPr>
      <w:r>
        <w:rPr>
          <w:color w:val="000000"/>
        </w:rPr>
        <w:t>15. При возникновении прямой или косвенной личной заинтересованности члена комиссии, которая может привести к возникновению конфликта интересов при рассмотрении вопроса, включенного в повестку дня заседания комиссии, он обязан до начала заседания заявить об этом. В таком случае соответствующий член комиссии не принимает участия в рассмотрении указанного вопроса.</w:t>
      </w:r>
    </w:p>
    <w:p>
      <w:pPr>
        <w:pStyle w:val="ConsPlusNormal"/>
        <w:spacing w:before="240" w:after="0"/>
        <w:ind w:firstLine="540" w:left="0" w:right="0"/>
        <w:jc w:val="both"/>
        <w:rPr>
          <w:color w:val="000000"/>
        </w:rPr>
      </w:pPr>
      <w:bookmarkStart w:id="4" w:name="Par97"/>
      <w:bookmarkEnd w:id="4"/>
      <w:r>
        <w:rPr>
          <w:color w:val="000000"/>
        </w:rPr>
        <w:t>16. Основаниями для проведения заседания комиссии являются:</w:t>
      </w:r>
    </w:p>
    <w:p>
      <w:pPr>
        <w:pStyle w:val="ConsPlusNormal"/>
        <w:spacing w:before="240" w:after="0"/>
        <w:ind w:firstLine="540" w:left="0" w:right="0"/>
        <w:jc w:val="both"/>
        <w:rPr>
          <w:color w:val="000000"/>
        </w:rPr>
      </w:pPr>
      <w:bookmarkStart w:id="5" w:name="Par98"/>
      <w:bookmarkEnd w:id="5"/>
      <w:r>
        <w:rPr>
          <w:color w:val="000000"/>
        </w:rPr>
        <w:t>а) представление директором Федеральной службы войск национальной гвардии Российской Федерации - главнокомандующим войсками национальной гвардии Российской Федерации, его первым заместителем (заместителями), начальником Главного управления кадров Федеральной службы войск национальной гвардии Российской Федерации &lt;1&gt;, руководителем организации материалов проверки достоверности и полноты сведений о доходах, об имуществе и обязательствах имущественного характера работника организации, а также сведений о доходах, об имуществе и обязательствах имущественного характера своих супруги (супруга) и несовершеннолетних детей данного работника &lt;2&gt;, свидетельствующих:</w:t>
      </w:r>
    </w:p>
    <w:p>
      <w:pPr>
        <w:pStyle w:val="ConsPlusNormal"/>
        <w:ind w:hanging="0" w:left="0" w:right="0"/>
        <w:jc w:val="both"/>
        <w:rPr>
          <w:color w:val="000000"/>
        </w:rPr>
      </w:pPr>
      <w:r>
        <w:rPr>
          <w:color w:val="000000"/>
        </w:rPr>
        <w:t>(в ред. Приказа Росгвардии от 11.05.2021 N 161)</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Далее - "ГУК Росгвардии".</w:t>
      </w:r>
    </w:p>
    <w:p>
      <w:pPr>
        <w:pStyle w:val="ConsPlusNormal"/>
        <w:spacing w:before="240" w:after="0"/>
        <w:ind w:firstLine="540" w:left="0" w:right="0"/>
        <w:jc w:val="both"/>
        <w:rPr>
          <w:color w:val="000000"/>
        </w:rPr>
      </w:pPr>
      <w:r>
        <w:rPr>
          <w:color w:val="000000"/>
        </w:rPr>
        <w:t>&lt;2&gt; Далее - "сведения о доходах, об имуществе и обязательствах имущественного характера".</w:t>
      </w:r>
    </w:p>
    <w:p>
      <w:pPr>
        <w:pStyle w:val="ConsPlusNormal"/>
        <w:ind w:firstLine="540" w:left="0" w:right="0"/>
        <w:jc w:val="both"/>
        <w:rPr>
          <w:color w:val="000000"/>
        </w:rPr>
      </w:pPr>
      <w:r>
        <w:rPr>
          <w:color w:val="000000"/>
        </w:rPr>
      </w:r>
    </w:p>
    <w:p>
      <w:pPr>
        <w:pStyle w:val="ConsPlusNormal"/>
        <w:ind w:firstLine="540" w:left="0" w:right="0"/>
        <w:jc w:val="both"/>
        <w:rPr>
          <w:color w:val="000000"/>
        </w:rPr>
      </w:pPr>
      <w:bookmarkStart w:id="6" w:name="Par104"/>
      <w:bookmarkEnd w:id="6"/>
      <w:r>
        <w:rPr>
          <w:color w:val="000000"/>
        </w:rPr>
        <w:t>о представлении работником организации недостоверных или неполных сведений о доходах, об имуществе и обязательствах имущественного характера;</w:t>
      </w:r>
    </w:p>
    <w:p>
      <w:pPr>
        <w:pStyle w:val="ConsPlusNormal"/>
        <w:spacing w:before="240" w:after="0"/>
        <w:ind w:firstLine="540" w:left="0" w:right="0"/>
        <w:jc w:val="both"/>
        <w:rPr>
          <w:color w:val="000000"/>
        </w:rPr>
      </w:pPr>
      <w:bookmarkStart w:id="7" w:name="Par105"/>
      <w:bookmarkEnd w:id="7"/>
      <w:r>
        <w:rPr>
          <w:color w:val="000000"/>
        </w:rPr>
        <w:t>о несоблюдении работником организации требований к служебному поведению и (или) требований об урегулировании конфликта интересов;</w:t>
      </w:r>
    </w:p>
    <w:p>
      <w:pPr>
        <w:pStyle w:val="ConsPlusNormal"/>
        <w:spacing w:before="240" w:after="0"/>
        <w:ind w:firstLine="540" w:left="0" w:right="0"/>
        <w:jc w:val="both"/>
        <w:rPr>
          <w:color w:val="000000"/>
        </w:rPr>
      </w:pPr>
      <w:bookmarkStart w:id="8" w:name="Par106"/>
      <w:bookmarkEnd w:id="8"/>
      <w:r>
        <w:rPr>
          <w:color w:val="000000"/>
        </w:rPr>
        <w:t>б) поступившее в организацию:</w:t>
      </w:r>
    </w:p>
    <w:p>
      <w:pPr>
        <w:pStyle w:val="ConsPlusNormal"/>
        <w:spacing w:before="240" w:after="0"/>
        <w:ind w:firstLine="540" w:left="0" w:right="0"/>
        <w:jc w:val="both"/>
        <w:rPr>
          <w:color w:val="000000"/>
        </w:rPr>
      </w:pPr>
      <w:bookmarkStart w:id="9" w:name="Par107"/>
      <w:bookmarkEnd w:id="9"/>
      <w:r>
        <w:rPr>
          <w:color w:val="000000"/>
        </w:rPr>
        <w:t>обращение гражданина, замещавшего должность на основании трудового договора в организации, включенную в Перечень должностей федеральной государственной службы в войсках национальной гвардии Российской Федерации и должностей работников в организациях, создаваемых для выполнения задач, поставленных перед Росгвардией, при замещении которых федеральные государственные служащие, работники, а также граждане при назначении на должности в организациях, создаваемых для выполнения задач, поставленных перед Росгвардией, обязаны представлять сведения о своих доходах, об имуществе и обязательствах имущественного характера, а также сведения о доходах, об имуществе и обязательствах имущественного характера своих супруги (супруга) и несовершеннолетних детей, утвержденный приказом Федеральной службы войск национальной гвардии Российской Федерации от 29 ноября 2018 г. N 605дсп &lt;1&gt;, о даче согласия на замещение должности в коммерческой или некоммерческой организации либо на выполнение работы на условиях гражданско-правового договора в коммерческой или некоммерческой организации, если отдельные функции по государственному управлению коммерческой или некоммерческой организацией входили в его трудовые обязанности, до истечения двух лет со дня расторжения трудового договора с организацией;</w:t>
      </w:r>
    </w:p>
    <w:p>
      <w:pPr>
        <w:pStyle w:val="ConsPlusNormal"/>
        <w:ind w:hanging="0" w:left="0" w:right="0"/>
        <w:jc w:val="both"/>
        <w:rPr>
          <w:color w:val="000000"/>
        </w:rPr>
      </w:pPr>
      <w:r>
        <w:rPr>
          <w:color w:val="000000"/>
        </w:rPr>
        <w:t>(в ред. Приказа Росгвардии от 18.04.2019 N 125)</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Зарегистрирован Минюстом России 19 декабря 2018 года, регистрационный N 53073.</w:t>
      </w:r>
    </w:p>
    <w:p>
      <w:pPr>
        <w:pStyle w:val="ConsPlusNormal"/>
        <w:ind w:hanging="0" w:left="0" w:right="0"/>
        <w:jc w:val="both"/>
        <w:rPr>
          <w:color w:val="000000"/>
        </w:rPr>
      </w:pPr>
      <w:r>
        <w:rPr>
          <w:color w:val="000000"/>
        </w:rPr>
        <w:t>(сноска в ред. Приказа Росгвардии от 18.04.2019 N 125)</w:t>
      </w:r>
    </w:p>
    <w:p>
      <w:pPr>
        <w:pStyle w:val="ConsPlusNormal"/>
        <w:ind w:firstLine="540" w:left="0" w:right="0"/>
        <w:jc w:val="both"/>
        <w:rPr>
          <w:color w:val="000000"/>
        </w:rPr>
      </w:pPr>
      <w:r>
        <w:rPr>
          <w:color w:val="000000"/>
        </w:rPr>
      </w:r>
    </w:p>
    <w:p>
      <w:pPr>
        <w:pStyle w:val="ConsPlusNormal"/>
        <w:ind w:firstLine="540" w:left="0" w:right="0"/>
        <w:jc w:val="both"/>
        <w:rPr>
          <w:color w:val="000000"/>
        </w:rPr>
      </w:pPr>
      <w:bookmarkStart w:id="10" w:name="Par113"/>
      <w:bookmarkEnd w:id="10"/>
      <w:r>
        <w:rPr>
          <w:color w:val="000000"/>
        </w:rPr>
        <w:t>заявление работника организации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w:t>
      </w:r>
    </w:p>
    <w:p>
      <w:pPr>
        <w:pStyle w:val="ConsPlusNormal"/>
        <w:spacing w:before="240" w:after="0"/>
        <w:ind w:firstLine="540" w:left="0" w:right="0"/>
        <w:jc w:val="both"/>
        <w:rPr>
          <w:color w:val="000000"/>
        </w:rPr>
      </w:pPr>
      <w:bookmarkStart w:id="11" w:name="Par114"/>
      <w:bookmarkEnd w:id="11"/>
      <w:r>
        <w:rPr>
          <w:color w:val="000000"/>
        </w:rPr>
        <w:t>заявление работника организации о невозможности выполнить требования Федерального закона от 7 мая 2013 г. N 79-ФЗ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&lt;2&gt; в связи с арестом, запретом распоряжения, наложенными компетентными органами иностранного государства в соответствии с законодательством данного иностранного государства, на территории которого находятся счета (вклады), осуществляется хранение наличных денежных средств и ценностей в иностранном банке и (или) имеются иностранные финансовые инструменты, или в связи с иными обстоятельствами, не зависящими от его воли или воли его супруги (супруга) и несовершеннолетних детей;</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&lt;2&gt; Собрание законодательства Российской Федерации, 2013, N 19, ст. 2306; 2017, N 1, ст. 46. Далее - "Федеральный закон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w:t>
      </w:r>
    </w:p>
    <w:p>
      <w:pPr>
        <w:pStyle w:val="ConsPlusNormal"/>
        <w:ind w:firstLine="540" w:left="0" w:right="0"/>
        <w:jc w:val="both"/>
        <w:rPr>
          <w:color w:val="000000"/>
        </w:rPr>
      </w:pPr>
      <w:r>
        <w:rPr>
          <w:color w:val="000000"/>
        </w:rPr>
      </w:r>
    </w:p>
    <w:p>
      <w:pPr>
        <w:pStyle w:val="ConsPlusNormal"/>
        <w:ind w:firstLine="540" w:left="0" w:right="0"/>
        <w:jc w:val="both"/>
        <w:rPr>
          <w:color w:val="000000"/>
        </w:rPr>
      </w:pPr>
      <w:bookmarkStart w:id="12" w:name="Par118"/>
      <w:bookmarkEnd w:id="12"/>
      <w:r>
        <w:rPr>
          <w:color w:val="000000"/>
        </w:rPr>
        <w:t>уведомление работника организации о возникновении личной заинтересованности при исполнении трудовых обязанностей, которая приводит или может привести к конфликту интересов;</w:t>
      </w:r>
    </w:p>
    <w:p>
      <w:pPr>
        <w:pStyle w:val="ConsPlusNormal"/>
        <w:spacing w:before="240" w:after="0"/>
        <w:ind w:firstLine="540" w:left="0" w:right="0"/>
        <w:jc w:val="both"/>
        <w:rPr>
          <w:color w:val="000000"/>
        </w:rPr>
      </w:pPr>
      <w:bookmarkStart w:id="13" w:name="Par119"/>
      <w:bookmarkEnd w:id="13"/>
      <w:r>
        <w:rPr>
          <w:color w:val="000000"/>
        </w:rPr>
        <w:t>в) представление руководителя организации или любого члена комиссии, касающееся обеспечения соблюдения работниками организации требований к служебному поведению и (или) требований об урегулировании конфликта интересов либо осуществления в организации мер по предупреждению коррупции;</w:t>
      </w:r>
    </w:p>
    <w:p>
      <w:pPr>
        <w:pStyle w:val="ConsPlusNormal"/>
        <w:spacing w:before="240" w:after="0"/>
        <w:ind w:firstLine="540" w:left="0" w:right="0"/>
        <w:jc w:val="both"/>
        <w:rPr>
          <w:color w:val="000000"/>
        </w:rPr>
      </w:pPr>
      <w:bookmarkStart w:id="14" w:name="Par120"/>
      <w:bookmarkEnd w:id="14"/>
      <w:r>
        <w:rPr>
          <w:color w:val="000000"/>
        </w:rPr>
        <w:t>г) представление руководителем организации материалов проверки, свидетельствующих о представлении работником организации недостоверных или неполных сведений, предусмотренных частью 1 статьи 3 Федерального закона от 3 декабря 2012 г. N 230-ФЗ "О контроле за соответствием расходов лиц, замещающих государственные должности, и иных лиц их доходам" &lt;1&gt;;</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&lt;1&gt; Собрание законодательства Российской Федерации, 2012, N 50, ст. 6953; 2014, N 52, ст. 7542. Далее - "Федеральный закон "О контроле за соответствием расходов лиц, замещающих государственные должности, и иных лиц их доходам".</w:t>
      </w:r>
    </w:p>
    <w:p>
      <w:pPr>
        <w:pStyle w:val="ConsPlusNormal"/>
        <w:ind w:firstLine="540" w:left="0" w:right="0"/>
        <w:jc w:val="both"/>
        <w:rPr>
          <w:color w:val="000000"/>
        </w:rPr>
      </w:pPr>
      <w:r>
        <w:rPr>
          <w:color w:val="000000"/>
        </w:rPr>
      </w:r>
    </w:p>
    <w:p>
      <w:pPr>
        <w:pStyle w:val="ConsPlusNormal"/>
        <w:ind w:firstLine="540" w:left="0" w:right="0"/>
        <w:jc w:val="both"/>
        <w:rPr>
          <w:color w:val="000000"/>
        </w:rPr>
      </w:pPr>
      <w:bookmarkStart w:id="15" w:name="Par124"/>
      <w:bookmarkEnd w:id="15"/>
      <w:r>
        <w:rPr>
          <w:color w:val="000000"/>
        </w:rPr>
        <w:t>д) поступившее в соответствии с частью 4 статьи 12 Федерального закона "О противодействии коррупции" и статьей 64.1 Трудового кодекса Российской Федерации &lt;2&gt; в организацию уведомление коммерческой или некоммерческой организации о заключении с гражданином, замещавшим должность в организации, трудового или гражданско-правового договора на выполнение работ (оказание услуг), если отдельные функции государственного управления коммерческой или некоммерческой организацией входили в его трудовые обязанности, исполняемые во время замещения должности в организации, при условии, что указанному гражданину комиссией ранее было отказано во вступлении в трудовые и гражданско-правовые отношения с коммерческой или некоммерческой организацией или что вопрос о даче согласия такому гражданину на замещение им должности в коммерческой или некоммерческой организации либо на выполнение им работы на условиях гражданско-правового договора в коммерческой или некоммерческой организации комиссией не рассматривался.</w:t>
      </w:r>
    </w:p>
    <w:p>
      <w:pPr>
        <w:pStyle w:val="ConsPlusNormal"/>
        <w:spacing w:before="240" w:after="0"/>
        <w:ind w:firstLine="540" w:left="0" w:right="0"/>
        <w:jc w:val="both"/>
        <w:rPr>
          <w:color w:val="000000"/>
        </w:rPr>
      </w:pPr>
      <w:r>
        <w:rPr>
          <w:color w:val="000000"/>
        </w:rPr>
        <w:t>--------------------------------</w:t>
      </w:r>
    </w:p>
    <w:p>
      <w:pPr>
        <w:pStyle w:val="ConsPlusNormal"/>
        <w:spacing w:before="240" w:after="0"/>
        <w:ind w:firstLine="540" w:left="0" w:right="0"/>
        <w:jc w:val="both"/>
        <w:rPr>
          <w:color w:val="000000"/>
        </w:rPr>
      </w:pPr>
      <w:r>
        <w:rPr>
          <w:color w:val="000000"/>
        </w:rPr>
        <w:t>&lt;2&gt; Собрание законодательства Российской Федерации, 2002, N 1, ст. 3; 2011, N 48, ст. 6730.</w:t>
      </w:r>
    </w:p>
    <w:p>
      <w:pPr>
        <w:pStyle w:val="ConsPlusNormal"/>
        <w:ind w:firstLine="540" w:left="0" w:right="0"/>
        <w:jc w:val="both"/>
        <w:rPr>
          <w:color w:val="000000"/>
        </w:rPr>
      </w:pPr>
      <w:r>
        <w:rPr>
          <w:color w:val="000000"/>
        </w:rPr>
      </w:r>
    </w:p>
    <w:p>
      <w:pPr>
        <w:pStyle w:val="ConsPlusNormal"/>
        <w:ind w:firstLine="540" w:left="0" w:right="0"/>
        <w:jc w:val="both"/>
        <w:rPr>
          <w:color w:val="000000"/>
        </w:rPr>
      </w:pPr>
      <w:bookmarkStart w:id="16" w:name="Par128"/>
      <w:bookmarkEnd w:id="16"/>
      <w:r>
        <w:rPr>
          <w:color w:val="000000"/>
        </w:rPr>
        <w:t xml:space="preserve">17. Обращение, указанное в </w:t>
      </w:r>
      <w:hyperlink w:anchor="Par107" w:tgtFrame="обращение гражданина, замещавшего должность на основании трудового договора в организации, включенную в Перечень должностей федеральной государственной службы в войсках национальной гвардии Российской Федерации и должностей работников в организациях, создаваемых для выполнения задач, поставленных перед Росгвардией, при замещении которых федеральные государственные служащие, работники, а также граждане при назначении на должности в организациях, создаваемых для выполнения задач, поставленных перед Росгвар...">
        <w:r>
          <w:rPr>
            <w:color w:val="0000FF"/>
          </w:rPr>
          <w:t>абзаце втором подпункта "б" пункта 16</w:t>
        </w:r>
      </w:hyperlink>
      <w:r>
        <w:rPr>
          <w:color w:val="000000"/>
        </w:rPr>
        <w:t xml:space="preserve"> настоящего Положения, подается гражданином в организацию, в которой он замещал должность. В обращении указываются: фамилия, имя, отчество (последнее - при наличии) гражданина, дата его рождения, адрес места жительства, замещаемые должности в течение последних двух лет до дня расторжения трудового договора с организацией, наименование, местонахождение коммерческой или некоммерческой организации, характер ее деятельности, трудовые обязанности, исполняемые гражданином во время замещения им должности в организации, функции по управлению в отношении коммерческой или некоммерческой организации, вид договора (трудовой или гражданско-правовой), предполагаемый срок его действия, сумма оплаты за выполнение (оказание) по договору работ (услуг). Подразделением (должностным лицом) организации по профилактике коррупционных правонарушений осуществляется рассмотрение обращения, по результатам которого подготавливается мотивированное заключение по существу обращения с учетом требований статьи 12 Федерального закона "О противодействии коррупции".</w:t>
      </w:r>
    </w:p>
    <w:p>
      <w:pPr>
        <w:pStyle w:val="ConsPlusNormal"/>
        <w:spacing w:before="240" w:after="0"/>
        <w:ind w:firstLine="540" w:left="0" w:right="0"/>
        <w:jc w:val="both"/>
        <w:rPr>
          <w:color w:val="000000"/>
        </w:rPr>
      </w:pPr>
      <w:r>
        <w:rPr>
          <w:color w:val="000000"/>
        </w:rPr>
        <w:t xml:space="preserve">18. Обращение, указанное в </w:t>
      </w:r>
      <w:hyperlink w:anchor="Par107" w:tgtFrame="обращение гражданина, замещавшего должность на основании трудового договора в организации, включенную в Перечень должностей федеральной государственной службы в войсках национальной гвардии Российской Федерации и должностей работников в организациях, создаваемых для выполнения задач, поставленных перед Росгвардией, при замещении которых федеральные государственные служащие, работники, а также граждане при назначении на должности в организациях, создаваемых для выполнения задач, поставленных перед Росгвар...">
        <w:r>
          <w:rPr>
            <w:color w:val="0000FF"/>
          </w:rPr>
          <w:t>абзаце втором подпункта "б" пункта 16</w:t>
        </w:r>
      </w:hyperlink>
      <w:r>
        <w:rPr>
          <w:color w:val="000000"/>
        </w:rPr>
        <w:t xml:space="preserve"> настоящего Положения, может быть подано работником организации, планирующим свое увольнение, и подлежит рассмотрению комиссией в соответствии с настоящим Положением.</w:t>
      </w:r>
    </w:p>
    <w:p>
      <w:pPr>
        <w:pStyle w:val="ConsPlusNormal"/>
        <w:spacing w:before="240" w:after="0"/>
        <w:ind w:firstLine="540" w:left="0" w:right="0"/>
        <w:jc w:val="both"/>
        <w:rPr>
          <w:color w:val="000000"/>
        </w:rPr>
      </w:pPr>
      <w:bookmarkStart w:id="17" w:name="Par130"/>
      <w:bookmarkEnd w:id="17"/>
      <w:r>
        <w:rPr>
          <w:color w:val="000000"/>
        </w:rPr>
        <w:t xml:space="preserve">19. Уведомление, указанное в </w:t>
      </w:r>
      <w:hyperlink w:anchor="Par118" w:tgtFrame="уведомление работника организации о возникновении личной заинтересованности при исполнении трудовых обязанностей, которая приводит или может привести к конфликту интересов;">
        <w:r>
          <w:rPr>
            <w:color w:val="0000FF"/>
          </w:rPr>
          <w:t>абзаце пятом подпункта "б" пункта 16</w:t>
        </w:r>
      </w:hyperlink>
      <w:r>
        <w:rPr>
          <w:color w:val="000000"/>
        </w:rPr>
        <w:t xml:space="preserve"> настоящего Положения, рассматривается подразделением (должностным лицом) организации по профилактике коррупционных правонарушений, которое осуществляет подготовку мотивированного заключения по результатам рассмотрения уведомления.</w:t>
      </w:r>
    </w:p>
    <w:p>
      <w:pPr>
        <w:pStyle w:val="ConsPlusNormal"/>
        <w:spacing w:before="240" w:after="0"/>
        <w:ind w:firstLine="540" w:left="0" w:right="0"/>
        <w:jc w:val="both"/>
        <w:rPr>
          <w:color w:val="000000"/>
        </w:rPr>
      </w:pPr>
      <w:bookmarkStart w:id="18" w:name="Par131"/>
      <w:bookmarkEnd w:id="18"/>
      <w:r>
        <w:rPr>
          <w:color w:val="000000"/>
        </w:rPr>
        <w:t xml:space="preserve">20. Уведомление, указанное в </w:t>
      </w:r>
      <w:hyperlink r:id="rId5" w:tgtFrame="д) поступившее в соответствии с частью 4 статьи 12 Федерального закона \&quot;О противодействии коррупции\">
        <w:r>
          <w:rPr>
            <w:color w:val="0000FF"/>
          </w:rPr>
          <w:t>подпункте "д" пункта 16</w:t>
        </w:r>
      </w:hyperlink>
      <w:r>
        <w:rPr>
          <w:color w:val="000000"/>
        </w:rPr>
        <w:t xml:space="preserve"> настоящего Положения, рассматривается подразделением (должностным лицом) организации по профилактике коррупционных правонарушений, которое осуществляет подготовку мотивированного заключения о соблюдении гражданином, замещавшим должность на основании трудового договора в организации, требований статьи 12 Федерального закона "О противодействии коррупции".</w:t>
      </w:r>
    </w:p>
    <w:p>
      <w:pPr>
        <w:pStyle w:val="ConsPlusNormal"/>
        <w:spacing w:before="240" w:after="0"/>
        <w:ind w:firstLine="540" w:left="0" w:right="0"/>
        <w:jc w:val="both"/>
        <w:rPr>
          <w:color w:val="000000"/>
        </w:rPr>
      </w:pPr>
      <w:r>
        <w:rPr>
          <w:color w:val="000000"/>
        </w:rPr>
        <w:t xml:space="preserve">21. При подготовке мотивированного заключения по результатам рассмотрения обращения, указанного в </w:t>
      </w:r>
      <w:hyperlink w:anchor="Par107" w:tgtFrame="обращение гражданина, замещавшего должность на основании трудового договора в организации, включенную в Перечень должностей федеральной государственной службы в войсках национальной гвардии Российской Федерации и должностей работников в организациях, создаваемых для выполнения задач, поставленных перед Росгвардией, при замещении которых федеральные государственные служащие, работники, а также граждане при назначении на должности в организациях, создаваемых для выполнения задач, поставленных перед Росгвар...">
        <w:r>
          <w:rPr>
            <w:color w:val="0000FF"/>
          </w:rPr>
          <w:t>абзаце втором подпункта "б" пункта 16</w:t>
        </w:r>
      </w:hyperlink>
      <w:r>
        <w:rPr>
          <w:color w:val="000000"/>
        </w:rPr>
        <w:t xml:space="preserve"> настоящего Положения, или уведомлений, указанных в </w:t>
      </w:r>
      <w:hyperlink w:anchor="Par118" w:tgtFrame="уведомление работника организации о возникновении личной заинтересованности при исполнении трудовых обязанностей, которая приводит или может привести к конфликту интересов;">
        <w:r>
          <w:rPr>
            <w:color w:val="0000FF"/>
          </w:rPr>
          <w:t>абзаце пятом подпункта "б"</w:t>
        </w:r>
      </w:hyperlink>
      <w:r>
        <w:rPr>
          <w:color w:val="000000"/>
        </w:rPr>
        <w:t xml:space="preserve"> и </w:t>
      </w:r>
      <w:hyperlink r:id="rId6" w:tgtFrame="д) поступившее в соответствии с частью 4 статьи 12 Федерального закона \&quot;О противодействии коррупции\">
        <w:r>
          <w:rPr>
            <w:color w:val="0000FF"/>
          </w:rPr>
          <w:t>подпункте "д" пункта 16</w:t>
        </w:r>
      </w:hyperlink>
      <w:r>
        <w:rPr>
          <w:color w:val="000000"/>
        </w:rPr>
        <w:t xml:space="preserve"> настоящего Положения, должностные лица организации по профилактике коррупционных правонарушений имеют право проводить собеседование с работником организации, представившим обращение или уведомление, получать от него письменные пояснения, а руководитель организации может направлять запросы в государственные органы субъектов Российской Федерации, территориальные органы федеральных государственных органов (кроме территориальных органов федеральных органов исполнительной власти, уполномоченных на осуществление оперативно-розыскной деятельности), органы местного самоуправления, на предприятия, в учреждения организации и общественные объединения, а также ходатайство в адрес ГУК Росгвардии о направлении запросов в федеральные органы исполнительной власти, уполномоченные на осуществление оперативно-розыскной деятельности, в кредитные организации, налоговые органы Российской Федерации, в органы, осуществляющие государственную регистрацию прав на недвижимое имущество и сделок с ним, в органы прокуратуры Российской Федерации и иные федеральные государственные органы. Обращение или уведомление, а также заключение и другие материалы в течение семи рабочих дней со дня поступления обращения или уведомления представляются председателю комиссии. В случае направления запросов обращение или уведомление, а также заключение и другие материалы представляются председателю комиссии в течение 45 дней со дня поступления обращения или уведомления. Указанный срок может быть продлен, но не более чем на 30 дней.</w:t>
      </w:r>
    </w:p>
    <w:p>
      <w:pPr>
        <w:pStyle w:val="ConsPlusNormal"/>
        <w:spacing w:before="240" w:after="0"/>
        <w:ind w:firstLine="540" w:left="0" w:right="0"/>
        <w:jc w:val="both"/>
        <w:rPr>
          <w:color w:val="000000"/>
        </w:rPr>
      </w:pPr>
      <w:r>
        <w:rPr>
          <w:color w:val="000000"/>
        </w:rPr>
        <w:t xml:space="preserve">22. Мотивированные заключения, предусмотренные </w:t>
      </w:r>
      <w:hyperlink r:id="rId7" w:tgtFrame="17. Обращение, указанное в абзаце втором подпункта \&quot;б\">
        <w:r>
          <w:rPr>
            <w:color w:val="0000FF"/>
          </w:rPr>
          <w:t>пунктами 17</w:t>
        </w:r>
      </w:hyperlink>
      <w:r>
        <w:rPr>
          <w:color w:val="000000"/>
        </w:rPr>
        <w:t xml:space="preserve">, </w:t>
      </w:r>
      <w:hyperlink r:id="rId8" w:tgtFrame="19. Уведомление, указанное в абзаце пятом подпункта \&quot;б\">
        <w:r>
          <w:rPr>
            <w:color w:val="0000FF"/>
          </w:rPr>
          <w:t>19</w:t>
        </w:r>
      </w:hyperlink>
      <w:r>
        <w:rPr>
          <w:color w:val="000000"/>
        </w:rPr>
        <w:t xml:space="preserve"> и </w:t>
      </w:r>
      <w:hyperlink r:id="rId9" w:tgtFrame="20. Уведомление, указанное в подпункте \&quot;д\">
        <w:r>
          <w:rPr>
            <w:color w:val="0000FF"/>
          </w:rPr>
          <w:t>20</w:t>
        </w:r>
      </w:hyperlink>
      <w:r>
        <w:rPr>
          <w:color w:val="000000"/>
        </w:rPr>
        <w:t xml:space="preserve"> настоящего Положения, должны содержать:</w:t>
      </w:r>
    </w:p>
    <w:p>
      <w:pPr>
        <w:pStyle w:val="ConsPlusNormal"/>
        <w:spacing w:before="240" w:after="0"/>
        <w:ind w:firstLine="540" w:left="0" w:right="0"/>
        <w:jc w:val="both"/>
        <w:rPr>
          <w:color w:val="000000"/>
        </w:rPr>
      </w:pPr>
      <w:r>
        <w:rPr>
          <w:color w:val="000000"/>
        </w:rPr>
        <w:t xml:space="preserve">а) информацию, изложенную в обращениях или уведомлениях, указанных в </w:t>
      </w:r>
      <w:hyperlink w:anchor="Par107" w:tgtFrame="обращение гражданина, замещавшего должность на основании трудового договора в организации, включенную в Перечень должностей федеральной государственной службы в войсках национальной гвардии Российской Федерации и должностей работников в организациях, создаваемых для выполнения задач, поставленных перед Росгвардией, при замещении которых федеральные государственные служащие, работники, а также граждане при назначении на должности в организациях, создаваемых для выполнения задач, поставленных перед Росгвар...">
        <w:r>
          <w:rPr>
            <w:color w:val="0000FF"/>
          </w:rPr>
          <w:t>абзацах втором</w:t>
        </w:r>
      </w:hyperlink>
      <w:r>
        <w:rPr>
          <w:color w:val="000000"/>
        </w:rPr>
        <w:t xml:space="preserve"> и </w:t>
      </w:r>
      <w:hyperlink w:anchor="Par118" w:tgtFrame="уведомление работника организации о возникновении личной заинтересованности при исполнении трудовых обязанностей, которая приводит или может привести к конфликту интересов;">
        <w:r>
          <w:rPr>
            <w:color w:val="0000FF"/>
          </w:rPr>
          <w:t>пятом подпункта "б"</w:t>
        </w:r>
      </w:hyperlink>
      <w:r>
        <w:rPr>
          <w:color w:val="000000"/>
        </w:rPr>
        <w:t xml:space="preserve"> и </w:t>
      </w:r>
      <w:hyperlink r:id="rId10" w:tgtFrame="д) поступившее в соответствии с частью 4 статьи 12 Федерального закона \&quot;О противодействии коррупции\">
        <w:r>
          <w:rPr>
            <w:color w:val="0000FF"/>
          </w:rPr>
          <w:t>подпункте "д" пункта 16</w:t>
        </w:r>
      </w:hyperlink>
      <w:r>
        <w:rPr>
          <w:color w:val="000000"/>
        </w:rPr>
        <w:t xml:space="preserve"> настоящего Положения;</w:t>
      </w:r>
    </w:p>
    <w:p>
      <w:pPr>
        <w:pStyle w:val="ConsPlusNormal"/>
        <w:spacing w:before="240" w:after="0"/>
        <w:ind w:firstLine="540" w:left="0" w:right="0"/>
        <w:jc w:val="both"/>
        <w:rPr>
          <w:color w:val="000000"/>
        </w:rPr>
      </w:pPr>
      <w:r>
        <w:rPr>
          <w:color w:val="000000"/>
        </w:rPr>
        <w:t>б) информацию, полученную от государственных органов, органов местного самоуправления и заинтересованных организаций, на основании запросов, направляемых руководителем организации и ГУК Росгвардии;</w:t>
      </w:r>
    </w:p>
    <w:p>
      <w:pPr>
        <w:pStyle w:val="ConsPlusNormal"/>
        <w:spacing w:before="240" w:after="0"/>
        <w:ind w:firstLine="540" w:left="0" w:right="0"/>
        <w:jc w:val="both"/>
        <w:rPr>
          <w:color w:val="000000"/>
        </w:rPr>
      </w:pPr>
      <w:r>
        <w:rPr>
          <w:color w:val="000000"/>
        </w:rPr>
        <w:t xml:space="preserve">в) мотивированный вывод по результатам предварительного рассмотрения обращений и уведомлений, указанных в </w:t>
      </w:r>
      <w:hyperlink w:anchor="Par107" w:tgtFrame="обращение гражданина, замещавшего должность на основании трудового договора в организации, включенную в Перечень должностей федеральной государственной службы в войсках национальной гвардии Российской Федерации и должностей работников в организациях, создаваемых для выполнения задач, поставленных перед Росгвардией, при замещении которых федеральные государственные служащие, работники, а также граждане при назначении на должности в организациях, создаваемых для выполнения задач, поставленных перед Росгвар...">
        <w:r>
          <w:rPr>
            <w:color w:val="0000FF"/>
          </w:rPr>
          <w:t>абзацах втором</w:t>
        </w:r>
      </w:hyperlink>
      <w:r>
        <w:rPr>
          <w:color w:val="000000"/>
        </w:rPr>
        <w:t xml:space="preserve"> и </w:t>
      </w:r>
      <w:hyperlink w:anchor="Par118" w:tgtFrame="уведомление работника организации о возникновении личной заинтересованности при исполнении трудовых обязанностей, которая приводит или может привести к конфликту интересов;">
        <w:r>
          <w:rPr>
            <w:color w:val="0000FF"/>
          </w:rPr>
          <w:t>пятом подпункта "б"</w:t>
        </w:r>
      </w:hyperlink>
      <w:r>
        <w:rPr>
          <w:color w:val="000000"/>
        </w:rPr>
        <w:t xml:space="preserve"> и </w:t>
      </w:r>
      <w:hyperlink r:id="rId11" w:tgtFrame="д) поступившее в соответствии с частью 4 статьи 12 Федерального закона \&quot;О противодействии коррупции\">
        <w:r>
          <w:rPr>
            <w:color w:val="0000FF"/>
          </w:rPr>
          <w:t>подпункте "д" пункта 16</w:t>
        </w:r>
      </w:hyperlink>
      <w:r>
        <w:rPr>
          <w:color w:val="000000"/>
        </w:rPr>
        <w:t xml:space="preserve"> настоящего Положения, а также рекомендации для принятия одного из решений в соответствии с </w:t>
      </w:r>
      <w:hyperlink r:id="rId12" w:tgtFrame="32. По итогам рассмотрения вопроса, указанного в абзаце втором подпункта \&quot;б\">
        <w:r>
          <w:rPr>
            <w:color w:val="0000FF"/>
          </w:rPr>
          <w:t>пунктами 32</w:t>
        </w:r>
      </w:hyperlink>
      <w:r>
        <w:rPr>
          <w:color w:val="000000"/>
        </w:rPr>
        <w:t xml:space="preserve">, </w:t>
      </w:r>
      <w:hyperlink r:id="rId13" w:tgtFrame="36. По итогам рассмотрения вопроса, указанного в подпункте \&quot;г\">
        <w:r>
          <w:rPr>
            <w:color w:val="0000FF"/>
          </w:rPr>
          <w:t>36</w:t>
        </w:r>
      </w:hyperlink>
      <w:r>
        <w:rPr>
          <w:color w:val="000000"/>
        </w:rPr>
        <w:t xml:space="preserve">, </w:t>
      </w:r>
      <w:hyperlink r:id="rId14" w:tgtFrame="37. По итогам рассмотрения вопроса, указанного в подпункте \&quot;д\">
        <w:r>
          <w:rPr>
            <w:color w:val="0000FF"/>
          </w:rPr>
          <w:t>37</w:t>
        </w:r>
      </w:hyperlink>
      <w:r>
        <w:rPr>
          <w:color w:val="000000"/>
        </w:rPr>
        <w:t xml:space="preserve"> настоящего Положения или иного решения.</w:t>
      </w:r>
    </w:p>
    <w:p>
      <w:pPr>
        <w:pStyle w:val="ConsPlusNormal"/>
        <w:spacing w:before="240" w:after="0"/>
        <w:ind w:firstLine="540" w:left="0" w:right="0"/>
        <w:jc w:val="both"/>
        <w:rPr>
          <w:color w:val="000000"/>
        </w:rPr>
      </w:pPr>
      <w:r>
        <w:rPr>
          <w:color w:val="000000"/>
        </w:rPr>
        <w:t>23. Председатель комиссии осуществляет общее руководство деятельностью комиссии, устанавливает дату, время и место проведения заседания комиссии, осуществляет контроль за работой комиссии и реализацией принятых решений. При поступлении информации, содержащей основания для проведения заседания комиссии, председатель комиссии:</w:t>
      </w:r>
    </w:p>
    <w:p>
      <w:pPr>
        <w:pStyle w:val="ConsPlusNormal"/>
        <w:spacing w:before="240" w:after="0"/>
        <w:ind w:firstLine="540" w:left="0" w:right="0"/>
        <w:jc w:val="both"/>
        <w:rPr>
          <w:color w:val="000000"/>
        </w:rPr>
      </w:pPr>
      <w:r>
        <w:rPr>
          <w:color w:val="000000"/>
        </w:rPr>
        <w:t xml:space="preserve">а) назначает дату заседания комиссии в десятидневный срок. При этом дата заседания комиссии не может быть назначена позднее двадцати дней со дня поступления информации, за исключением случаев, предусмотренных </w:t>
      </w:r>
      <w:hyperlink r:id="rId15" w:tgtFrame="25. Уведомление, указанное в подпункте \&quot;д\">
        <w:r>
          <w:rPr>
            <w:color w:val="0000FF"/>
          </w:rPr>
          <w:t>пунктами 25</w:t>
        </w:r>
      </w:hyperlink>
      <w:r>
        <w:rPr>
          <w:color w:val="000000"/>
        </w:rPr>
        <w:t xml:space="preserve"> и </w:t>
      </w:r>
      <w:hyperlink r:id="rId16" w:tgtFrame="26. Заседание комиссии проводится, как правило, в присутствии работника организации, в отношении которого рассматривается вопрос о соблюдении требований к служебному поведению и (или) требований об урегулировании конфликта интересов, или гражданина, замещавшего должность в организации. О намерении лично присутствовать на заседании комиссии работник организации (гражданин) указывает в обращении, заявлении или уведомлении, представляемых в соответствии с подпунктом \&quot;б\">
        <w:r>
          <w:rPr>
            <w:color w:val="0000FF"/>
          </w:rPr>
          <w:t>26</w:t>
        </w:r>
      </w:hyperlink>
      <w:r>
        <w:rPr>
          <w:color w:val="000000"/>
        </w:rPr>
        <w:t xml:space="preserve"> настоящего Положения;</w:t>
      </w:r>
    </w:p>
    <w:p>
      <w:pPr>
        <w:pStyle w:val="ConsPlusNormal"/>
        <w:spacing w:before="240" w:after="0"/>
        <w:ind w:firstLine="540" w:left="0" w:right="0"/>
        <w:jc w:val="both"/>
        <w:rPr>
          <w:color w:val="000000"/>
        </w:rPr>
      </w:pPr>
      <w:r>
        <w:rPr>
          <w:color w:val="000000"/>
        </w:rPr>
        <w:t>б) организует ознакомление работника организации, в 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 его представителя, членов комиссии и других лиц, участвующих в заседании комиссии, с поступившей информацией и с результатами ее проверки;</w:t>
      </w:r>
    </w:p>
    <w:p>
      <w:pPr>
        <w:pStyle w:val="ConsPlusNormal"/>
        <w:spacing w:before="240" w:after="0"/>
        <w:ind w:firstLine="540" w:left="0" w:right="0"/>
        <w:jc w:val="both"/>
        <w:rPr>
          <w:color w:val="000000"/>
        </w:rPr>
      </w:pPr>
      <w:r>
        <w:rPr>
          <w:color w:val="000000"/>
        </w:rPr>
        <w:t xml:space="preserve">в) рассматривает ходатайства о приглашении на заседание комиссии лиц, указанных в </w:t>
      </w:r>
      <w:hyperlink w:anchor="Par89" w:tgtFrame="б) по решению председателя комиссии, принимаемому в каждом конкретном случае отдельно не менее чем за три дня до даты заседания комиссии на основании ходатайства работника организации, в отношении которого комиссией рассматривается этот вопрос, или любого члена комиссии:">
        <w:r>
          <w:rPr>
            <w:color w:val="0000FF"/>
          </w:rPr>
          <w:t>подпункте "б" пункта 13</w:t>
        </w:r>
      </w:hyperlink>
      <w:r>
        <w:rPr>
          <w:color w:val="000000"/>
        </w:rPr>
        <w:t xml:space="preserve"> настоящего Положения, принимает решение об их удовлетворении (об отказе в удовлетворении) и о рассмотрении (об отказе в рассмотрении) в ходе заседания комиссии дополнительных материалов.</w:t>
      </w:r>
    </w:p>
    <w:p>
      <w:pPr>
        <w:pStyle w:val="ConsPlusNormal"/>
        <w:spacing w:before="240" w:after="0"/>
        <w:ind w:firstLine="540" w:left="0" w:right="0"/>
        <w:jc w:val="both"/>
        <w:rPr>
          <w:color w:val="000000"/>
        </w:rPr>
      </w:pPr>
      <w:r>
        <w:rPr>
          <w:color w:val="000000"/>
        </w:rPr>
        <w:t xml:space="preserve">24. Заседание комиссии по рассмотрению заявлений, указанных в </w:t>
      </w:r>
      <w:hyperlink w:anchor="Par113" w:tgtFrame="заявление работника организации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
        <w:r>
          <w:rPr>
            <w:color w:val="0000FF"/>
          </w:rPr>
          <w:t>абзацах третьем</w:t>
        </w:r>
      </w:hyperlink>
      <w:r>
        <w:rPr>
          <w:color w:val="000000"/>
        </w:rPr>
        <w:t xml:space="preserve"> и </w:t>
      </w:r>
      <w:hyperlink r:id="rId17" w:tgtFrame="заявление работника организации о невозможности выполнить требования Федерального закона от 7 мая 2013 г. N 79-ФЗ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w:r>
          <w:rPr>
            <w:color w:val="0000FF"/>
          </w:rPr>
          <w:t>четвертом подпункта "б" пункта 16</w:t>
        </w:r>
      </w:hyperlink>
      <w:r>
        <w:rPr>
          <w:color w:val="000000"/>
        </w:rPr>
        <w:t xml:space="preserve"> настоящего Положения, проводится не позднее одного месяца со дня истечения срока, установленного для представления сведений о доходах, об имуществе и обязательствах имущественного характера.</w:t>
      </w:r>
    </w:p>
    <w:p>
      <w:pPr>
        <w:pStyle w:val="ConsPlusNormal"/>
        <w:spacing w:before="240" w:after="0"/>
        <w:ind w:firstLine="540" w:left="0" w:right="0"/>
        <w:jc w:val="both"/>
        <w:rPr>
          <w:color w:val="000000"/>
        </w:rPr>
      </w:pPr>
      <w:bookmarkStart w:id="19" w:name="Par142"/>
      <w:bookmarkEnd w:id="19"/>
      <w:r>
        <w:rPr>
          <w:color w:val="000000"/>
        </w:rPr>
        <w:t xml:space="preserve">25. Уведомление, указанное в </w:t>
      </w:r>
      <w:hyperlink r:id="rId18" w:tgtFrame="д) поступившее в соответствии с частью 4 статьи 12 Федерального закона \&quot;О противодействии коррупции\">
        <w:r>
          <w:rPr>
            <w:color w:val="0000FF"/>
          </w:rPr>
          <w:t>подпункте "д" пункта 16</w:t>
        </w:r>
      </w:hyperlink>
      <w:r>
        <w:rPr>
          <w:color w:val="000000"/>
        </w:rPr>
        <w:t xml:space="preserve"> настоящего Положения, рассматривается на очередном (плановом) заседании комиссии.</w:t>
      </w:r>
    </w:p>
    <w:p>
      <w:pPr>
        <w:pStyle w:val="ConsPlusNormal"/>
        <w:spacing w:before="240" w:after="0"/>
        <w:ind w:firstLine="540" w:left="0" w:right="0"/>
        <w:jc w:val="both"/>
        <w:rPr>
          <w:color w:val="000000"/>
        </w:rPr>
      </w:pPr>
      <w:bookmarkStart w:id="20" w:name="Par143"/>
      <w:bookmarkEnd w:id="20"/>
      <w:r>
        <w:rPr>
          <w:color w:val="000000"/>
        </w:rPr>
        <w:t xml:space="preserve">26. Заседание комиссии проводится, как правило, в присутствии работника организации, в отношении которого рассматривается вопрос о соблюдении требований к служебному поведению и (или) требований об урегулировании конфликта интересов, или гражданина, замещавшего должность в организации. О намерении лично присутствовать на заседании комиссии работник организации (гражданин) указывает в обращении, заявлении или уведомлении, представляемых в соответствии с </w:t>
      </w:r>
      <w:hyperlink w:anchor="Par106" w:tgtFrame="б) поступившее в организацию:">
        <w:r>
          <w:rPr>
            <w:color w:val="0000FF"/>
          </w:rPr>
          <w:t>подпунктом "б" пункта 16</w:t>
        </w:r>
      </w:hyperlink>
      <w:r>
        <w:rPr>
          <w:color w:val="000000"/>
        </w:rPr>
        <w:t xml:space="preserve"> настоящего Положения.</w:t>
      </w:r>
    </w:p>
    <w:p>
      <w:pPr>
        <w:pStyle w:val="ConsPlusNormal"/>
        <w:spacing w:before="240" w:after="0"/>
        <w:ind w:firstLine="540" w:left="0" w:right="0"/>
        <w:jc w:val="both"/>
        <w:rPr>
          <w:color w:val="000000"/>
        </w:rPr>
      </w:pPr>
      <w:r>
        <w:rPr>
          <w:color w:val="000000"/>
        </w:rPr>
        <w:t>27. Заседания комиссии могут проводиться в отсутствие работника организации или гражданина в случае:</w:t>
      </w:r>
    </w:p>
    <w:p>
      <w:pPr>
        <w:pStyle w:val="ConsPlusNormal"/>
        <w:spacing w:before="240" w:after="0"/>
        <w:ind w:firstLine="540" w:left="0" w:right="0"/>
        <w:jc w:val="both"/>
        <w:rPr>
          <w:color w:val="000000"/>
        </w:rPr>
      </w:pPr>
      <w:r>
        <w:rPr>
          <w:color w:val="000000"/>
        </w:rPr>
        <w:t xml:space="preserve">а) если в обращении, заявлении или уведомлении, предусмотренных </w:t>
      </w:r>
      <w:hyperlink w:anchor="Par106" w:tgtFrame="б) поступившее в организацию:">
        <w:r>
          <w:rPr>
            <w:color w:val="0000FF"/>
          </w:rPr>
          <w:t>подпунктом "б" пункта 16</w:t>
        </w:r>
      </w:hyperlink>
      <w:r>
        <w:rPr>
          <w:color w:val="000000"/>
        </w:rPr>
        <w:t xml:space="preserve"> настоящего Положения, не содержится указания о намерении работника организации или гражданина лично присутствовать на заседании комиссии;</w:t>
      </w:r>
    </w:p>
    <w:p>
      <w:pPr>
        <w:pStyle w:val="ConsPlusNormal"/>
        <w:spacing w:before="240" w:after="0"/>
        <w:ind w:firstLine="540" w:left="0" w:right="0"/>
        <w:jc w:val="both"/>
        <w:rPr>
          <w:color w:val="000000"/>
        </w:rPr>
      </w:pPr>
      <w:r>
        <w:rPr>
          <w:color w:val="000000"/>
        </w:rPr>
        <w:t>б) если работник организации (гражданин), намеревающийся лично присутствовать на заседании комиссии и надлежащим образом извещенный о времени и месте его проведения, не явился на заседание комиссии.</w:t>
      </w:r>
    </w:p>
    <w:p>
      <w:pPr>
        <w:pStyle w:val="ConsPlusNormal"/>
        <w:spacing w:before="240" w:after="0"/>
        <w:ind w:firstLine="540" w:left="0" w:right="0"/>
        <w:jc w:val="both"/>
        <w:rPr>
          <w:color w:val="000000"/>
        </w:rPr>
      </w:pPr>
      <w:r>
        <w:rPr>
          <w:color w:val="000000"/>
        </w:rPr>
        <w:t>28. На заседании комиссии заслушиваются пояснения работника организации или гражданина, замещавшего должность на основании трудового договора в организации (с их согласия), и иных лиц, рассматриваются материалы по существу вынесенных на данное заседание вопросов, а также дополнительные материалы.</w:t>
      </w:r>
    </w:p>
    <w:p>
      <w:pPr>
        <w:pStyle w:val="ConsPlusNormal"/>
        <w:spacing w:before="240" w:after="0"/>
        <w:ind w:firstLine="540" w:left="0" w:right="0"/>
        <w:jc w:val="both"/>
        <w:rPr>
          <w:color w:val="000000"/>
        </w:rPr>
      </w:pPr>
      <w:r>
        <w:rPr>
          <w:color w:val="000000"/>
        </w:rPr>
        <w:t>29. Члены комиссии и лица, участвовавшие в ее заседании, не вправе разглашать сведения, ставшие им известными в ходе работы комиссии.</w:t>
      </w:r>
    </w:p>
    <w:p>
      <w:pPr>
        <w:pStyle w:val="ConsPlusNormal"/>
        <w:spacing w:before="240" w:after="0"/>
        <w:ind w:firstLine="540" w:left="0" w:right="0"/>
        <w:jc w:val="both"/>
        <w:rPr>
          <w:color w:val="000000"/>
        </w:rPr>
      </w:pPr>
      <w:bookmarkStart w:id="21" w:name="Par149"/>
      <w:bookmarkEnd w:id="21"/>
      <w:r>
        <w:rPr>
          <w:color w:val="000000"/>
        </w:rPr>
        <w:t xml:space="preserve">30. По итогам рассмотрения вопроса, указанного в </w:t>
      </w:r>
      <w:hyperlink w:anchor="Par104" w:tgtFrame="о представлении работником организации недостоверных или неполных сведений о доходах, об имуществе и обязательствах имущественного характера;">
        <w:r>
          <w:rPr>
            <w:color w:val="0000FF"/>
          </w:rPr>
          <w:t>абзаце втором подпункта "а" пункта 16</w:t>
        </w:r>
      </w:hyperlink>
      <w:r>
        <w:rPr>
          <w:color w:val="000000"/>
        </w:rPr>
        <w:t xml:space="preserve"> настоящего Положения, комиссия принимает одно из следующих решений:</w:t>
      </w:r>
    </w:p>
    <w:p>
      <w:pPr>
        <w:pStyle w:val="ConsPlusNormal"/>
        <w:spacing w:before="240" w:after="0"/>
        <w:ind w:firstLine="540" w:left="0" w:right="0"/>
        <w:jc w:val="both"/>
        <w:rPr>
          <w:color w:val="000000"/>
        </w:rPr>
      </w:pPr>
      <w:r>
        <w:rPr>
          <w:color w:val="000000"/>
        </w:rPr>
        <w:t>а) установить, что сведения о доходах, об имуществе и обязательствах имущественного характера, представленные работником организации, являются достоверными и полными;</w:t>
      </w:r>
    </w:p>
    <w:p>
      <w:pPr>
        <w:pStyle w:val="ConsPlusNormal"/>
        <w:spacing w:before="240" w:after="0"/>
        <w:ind w:firstLine="540" w:left="0" w:right="0"/>
        <w:jc w:val="both"/>
        <w:rPr>
          <w:color w:val="000000"/>
        </w:rPr>
      </w:pPr>
      <w:r>
        <w:rPr>
          <w:color w:val="000000"/>
        </w:rPr>
        <w:t>б) установить, что сведения о доходах, об имуществе и обязательствах имущественного характера, представленные работником организации, являются недостоверными и (или) неполными. В этом случае комиссия рекомендует руководителю организации применить к работнику организации конкретную меру ответственности в соответствии с законодательством Российской Федерации.</w:t>
      </w:r>
    </w:p>
    <w:p>
      <w:pPr>
        <w:pStyle w:val="ConsPlusNormal"/>
        <w:spacing w:before="240" w:after="0"/>
        <w:ind w:firstLine="540" w:left="0" w:right="0"/>
        <w:jc w:val="both"/>
        <w:rPr>
          <w:color w:val="000000"/>
        </w:rPr>
      </w:pPr>
      <w:r>
        <w:rPr>
          <w:color w:val="000000"/>
        </w:rPr>
        <w:t xml:space="preserve">31. По итогам рассмотрения вопроса, указанного в </w:t>
      </w:r>
      <w:hyperlink w:anchor="Par105" w:tgtFrame="о несоблюдении работником организации требований к служебному поведению и (или) требований об урегулировании конфликта интересов;">
        <w:r>
          <w:rPr>
            <w:color w:val="0000FF"/>
          </w:rPr>
          <w:t>абзаце третьем подпункта "а" пункта 16</w:t>
        </w:r>
      </w:hyperlink>
      <w:r>
        <w:rPr>
          <w:color w:val="000000"/>
        </w:rPr>
        <w:t xml:space="preserve"> настоящего Положения, комиссия принимает одно из следующих решений:</w:t>
      </w:r>
    </w:p>
    <w:p>
      <w:pPr>
        <w:pStyle w:val="ConsPlusNormal"/>
        <w:spacing w:before="240" w:after="0"/>
        <w:ind w:firstLine="540" w:left="0" w:right="0"/>
        <w:jc w:val="both"/>
        <w:rPr>
          <w:color w:val="000000"/>
        </w:rPr>
      </w:pPr>
      <w:r>
        <w:rPr>
          <w:color w:val="000000"/>
        </w:rPr>
        <w:t>а) установить, что работник организации соблюдал требования к служебному поведению и (или) требования об урегулировании конфликта интересов;</w:t>
      </w:r>
    </w:p>
    <w:p>
      <w:pPr>
        <w:pStyle w:val="ConsPlusNormal"/>
        <w:spacing w:before="240" w:after="0"/>
        <w:ind w:firstLine="540" w:left="0" w:right="0"/>
        <w:jc w:val="both"/>
        <w:rPr>
          <w:color w:val="000000"/>
        </w:rPr>
      </w:pPr>
      <w:r>
        <w:rPr>
          <w:color w:val="000000"/>
        </w:rPr>
        <w:t>б) установить, что работник организации, замещающий должность, назначение на которую осуществляется руководителем организации, не соблюдал требования к служебному поведению и (или) требования об урегулировании конфликта интересов. В этом случае комиссия рекомендует руководителю организации указать работнику организации на недопустимость нарушения требований к служебному поведению и (или) требований об урегулировании конфликта интересов либо применить к работнику организации конкретную меру ответственности в соответствии с законодательством Российской Федерации.</w:t>
      </w:r>
    </w:p>
    <w:p>
      <w:pPr>
        <w:pStyle w:val="ConsPlusNormal"/>
        <w:spacing w:before="240" w:after="0"/>
        <w:ind w:firstLine="540" w:left="0" w:right="0"/>
        <w:jc w:val="both"/>
        <w:rPr>
          <w:color w:val="000000"/>
        </w:rPr>
      </w:pPr>
      <w:bookmarkStart w:id="22" w:name="Par155"/>
      <w:bookmarkEnd w:id="22"/>
      <w:r>
        <w:rPr>
          <w:color w:val="000000"/>
        </w:rPr>
        <w:t xml:space="preserve">32. По итогам рассмотрения вопроса, указанного в </w:t>
      </w:r>
      <w:hyperlink w:anchor="Par107" w:tgtFrame="обращение гражданина, замещавшего должность на основании трудового договора в организации, включенную в Перечень должностей федеральной государственной службы в войсках национальной гвардии Российской Федерации и должностей работников в организациях, создаваемых для выполнения задач, поставленных перед Росгвардией, при замещении которых федеральные государственные служащие, работники, а также граждане при назначении на должности в организациях, создаваемых для выполнения задач, поставленных перед Росгвар...">
        <w:r>
          <w:rPr>
            <w:color w:val="0000FF"/>
          </w:rPr>
          <w:t>абзаце втором подпункта "б" пункта 16</w:t>
        </w:r>
      </w:hyperlink>
      <w:r>
        <w:rPr>
          <w:color w:val="000000"/>
        </w:rPr>
        <w:t xml:space="preserve"> настоящего Положения, комиссия принимает одно из следующих решений:</w:t>
      </w:r>
    </w:p>
    <w:p>
      <w:pPr>
        <w:pStyle w:val="ConsPlusNormal"/>
        <w:spacing w:before="240" w:after="0"/>
        <w:ind w:firstLine="540" w:left="0" w:right="0"/>
        <w:jc w:val="both"/>
        <w:rPr>
          <w:color w:val="000000"/>
        </w:rPr>
      </w:pPr>
      <w:r>
        <w:rPr>
          <w:color w:val="000000"/>
        </w:rPr>
        <w:t>а) дать гражданину согласие на замещение должности в коммерческой или некоммерческой организации либо на выполнение работы на условиях гражданско-правового договора в коммерческой или некоммерческой организации, если отдельные функции по управлению этой организацией входили в его трудовые обязанности;</w:t>
      </w:r>
    </w:p>
    <w:p>
      <w:pPr>
        <w:pStyle w:val="ConsPlusNormal"/>
        <w:spacing w:before="240" w:after="0"/>
        <w:ind w:firstLine="540" w:left="0" w:right="0"/>
        <w:jc w:val="both"/>
        <w:rPr>
          <w:color w:val="000000"/>
        </w:rPr>
      </w:pPr>
      <w:r>
        <w:rPr>
          <w:color w:val="000000"/>
        </w:rPr>
        <w:t>б) отказать гражданину в замещении должности в коммерческой или некоммерческой организации либо в выполнении работы на условиях гражданско-правового договора в коммерческой или некоммерческой организации, если отдельные функции по управлению этой организацией входили в его трудовые обязанности, и мотивировать свой отказ.</w:t>
      </w:r>
    </w:p>
    <w:p>
      <w:pPr>
        <w:pStyle w:val="ConsPlusNormal"/>
        <w:spacing w:before="240" w:after="0"/>
        <w:ind w:firstLine="540" w:left="0" w:right="0"/>
        <w:jc w:val="both"/>
        <w:rPr>
          <w:color w:val="000000"/>
        </w:rPr>
      </w:pPr>
      <w:r>
        <w:rPr>
          <w:color w:val="000000"/>
        </w:rPr>
        <w:t xml:space="preserve">33. По итогам рассмотрения вопроса, указанного в </w:t>
      </w:r>
      <w:hyperlink w:anchor="Par113" w:tgtFrame="заявление работника организации о невозможности по объективным причинам представить сведения о доходах, об имуществе и обязательствах имущественного характера своих супруги (супруга) и несовершеннолетних детей;">
        <w:r>
          <w:rPr>
            <w:color w:val="0000FF"/>
          </w:rPr>
          <w:t>абзаце третьем подпункта "б" пункта 16</w:t>
        </w:r>
      </w:hyperlink>
      <w:r>
        <w:rPr>
          <w:color w:val="000000"/>
        </w:rPr>
        <w:t xml:space="preserve"> настоящего Положения, комиссия принимает одно из следующих решений:</w:t>
      </w:r>
    </w:p>
    <w:p>
      <w:pPr>
        <w:pStyle w:val="ConsPlusNormal"/>
        <w:spacing w:before="240" w:after="0"/>
        <w:ind w:firstLine="540" w:left="0" w:right="0"/>
        <w:jc w:val="both"/>
        <w:rPr>
          <w:color w:val="000000"/>
        </w:rPr>
      </w:pPr>
      <w:r>
        <w:rPr>
          <w:color w:val="000000"/>
        </w:rPr>
        <w:t>а) признать, что причина непредставления работником организации сведений о доходах, об имуществе и обязательствах имущественного характера своих супруги (супруга) и несовершеннолетних детей является объективной и уважительной;</w:t>
      </w:r>
    </w:p>
    <w:p>
      <w:pPr>
        <w:pStyle w:val="ConsPlusNormal"/>
        <w:spacing w:before="240" w:after="0"/>
        <w:ind w:firstLine="540" w:left="0" w:right="0"/>
        <w:jc w:val="both"/>
        <w:rPr>
          <w:color w:val="000000"/>
        </w:rPr>
      </w:pPr>
      <w:r>
        <w:rPr>
          <w:color w:val="000000"/>
        </w:rPr>
        <w:t>б) признать, что причина непредставления работником организации сведений о доходах, об имуществе и обязательствах имущественного характера своих супруги (супруга) и несовершеннолетних детей является неуважительной. В этом случае комиссия рекомендует работнику организации представить указанные сведения;</w:t>
      </w:r>
    </w:p>
    <w:p>
      <w:pPr>
        <w:pStyle w:val="ConsPlusNormal"/>
        <w:spacing w:before="240" w:after="0"/>
        <w:ind w:firstLine="540" w:left="0" w:right="0"/>
        <w:jc w:val="both"/>
        <w:rPr>
          <w:color w:val="000000"/>
        </w:rPr>
      </w:pPr>
      <w:r>
        <w:rPr>
          <w:color w:val="000000"/>
        </w:rPr>
        <w:t>в) признать, что причина непредставления работником организации сведений о доходах, об имуществе и обязательствах имущественного характера своих супруги (супруга) и несовершеннолетних детей необъективна и является способом уклонения от представления указанных сведений. В этом случае комиссия рекомендует руководителю организации применить к работнику организации конкретную меру ответственности в соответствии с законодательством Российской Федерации.</w:t>
      </w:r>
    </w:p>
    <w:p>
      <w:pPr>
        <w:pStyle w:val="ConsPlusNormal"/>
        <w:spacing w:before="240" w:after="0"/>
        <w:ind w:firstLine="540" w:left="0" w:right="0"/>
        <w:jc w:val="both"/>
        <w:rPr>
          <w:color w:val="000000"/>
        </w:rPr>
      </w:pPr>
      <w:r>
        <w:rPr>
          <w:color w:val="000000"/>
        </w:rPr>
        <w:t xml:space="preserve">34. По итогам рассмотрения вопроса, указанного в </w:t>
      </w:r>
      <w:hyperlink r:id="rId19" w:tgtFrame="заявление работника организации о невозможности выполнить требования Федерального закона от 7 мая 2013 г. N 79-ФЗ \&quo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w:r>
          <w:rPr>
            <w:color w:val="0000FF"/>
          </w:rPr>
          <w:t>абзаце четвертом подпункта "б" пункта 16</w:t>
        </w:r>
      </w:hyperlink>
      <w:r>
        <w:rPr>
          <w:color w:val="000000"/>
        </w:rPr>
        <w:t xml:space="preserve"> настоящего Положения, комиссия принимает одно из следующих решений:</w:t>
      </w:r>
    </w:p>
    <w:p>
      <w:pPr>
        <w:pStyle w:val="ConsPlusNormal"/>
        <w:spacing w:before="240" w:after="0"/>
        <w:ind w:firstLine="540" w:left="0" w:right="0"/>
        <w:jc w:val="both"/>
        <w:rPr>
          <w:color w:val="000000"/>
        </w:rPr>
      </w:pPr>
      <w:r>
        <w:rPr>
          <w:color w:val="000000"/>
        </w:rPr>
        <w:t>а) признать, что обстоятельства, препятствующие выполнению работником организации требований Федерального закона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являются объективными и уважительными;</w:t>
      </w:r>
    </w:p>
    <w:p>
      <w:pPr>
        <w:pStyle w:val="ConsPlusNormal"/>
        <w:spacing w:before="240" w:after="0"/>
        <w:ind w:firstLine="540" w:left="0" w:right="0"/>
        <w:jc w:val="both"/>
        <w:rPr>
          <w:color w:val="000000"/>
        </w:rPr>
      </w:pPr>
      <w:r>
        <w:rPr>
          <w:color w:val="000000"/>
        </w:rPr>
        <w:t>б) признать, что обстоятельства, препятствующие выполнению работником организации требований Федерального закона "О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 (или) пользоваться иностранными финансовыми инструментами", не являются объективными и уважительными. В этом случае комиссия рекомендует руководителю организации применить к работнику организации конкретную меру ответственности в соответствии с законодательством Российской Федерации.</w:t>
      </w:r>
    </w:p>
    <w:p>
      <w:pPr>
        <w:pStyle w:val="ConsPlusNormal"/>
        <w:spacing w:before="240" w:after="0"/>
        <w:ind w:firstLine="540" w:left="0" w:right="0"/>
        <w:jc w:val="both"/>
        <w:rPr>
          <w:color w:val="000000"/>
        </w:rPr>
      </w:pPr>
      <w:r>
        <w:rPr>
          <w:color w:val="000000"/>
        </w:rPr>
        <w:t xml:space="preserve">35. По итогам рассмотрения вопроса, указанного в </w:t>
      </w:r>
      <w:hyperlink w:anchor="Par118" w:tgtFrame="уведомление работника организации о возникновении личной заинтересованности при исполнении трудовых обязанностей, которая приводит или может привести к конфликту интересов;">
        <w:r>
          <w:rPr>
            <w:color w:val="0000FF"/>
          </w:rPr>
          <w:t>абзаце пятом подпункта "б" пункта 16</w:t>
        </w:r>
      </w:hyperlink>
      <w:r>
        <w:rPr>
          <w:color w:val="000000"/>
        </w:rPr>
        <w:t xml:space="preserve"> настоящего Положения, комиссия принимает одно из следующих решений:</w:t>
      </w:r>
    </w:p>
    <w:p>
      <w:pPr>
        <w:pStyle w:val="ConsPlusNormal"/>
        <w:spacing w:before="240" w:after="0"/>
        <w:ind w:firstLine="540" w:left="0" w:right="0"/>
        <w:jc w:val="both"/>
        <w:rPr>
          <w:color w:val="000000"/>
        </w:rPr>
      </w:pPr>
      <w:r>
        <w:rPr>
          <w:color w:val="000000"/>
        </w:rPr>
        <w:t>а) признать, что при исполнении работником организации трудовых обязанностей конфликт интересов отсутствует;</w:t>
      </w:r>
    </w:p>
    <w:p>
      <w:pPr>
        <w:pStyle w:val="ConsPlusNormal"/>
        <w:spacing w:before="240" w:after="0"/>
        <w:ind w:firstLine="540" w:left="0" w:right="0"/>
        <w:jc w:val="both"/>
        <w:rPr>
          <w:color w:val="000000"/>
        </w:rPr>
      </w:pPr>
      <w:r>
        <w:rPr>
          <w:color w:val="000000"/>
        </w:rPr>
        <w:t>б) признать, что при исполнении работником организации трудовых обязанностей личная заинтересованность приводит или может привести к конфликту интересов. В этом случае комиссия рекомендует руководителю организации принять меры по урегулированию конфликта интересов или по недопущению его возникновения;</w:t>
      </w:r>
    </w:p>
    <w:p>
      <w:pPr>
        <w:pStyle w:val="ConsPlusNormal"/>
        <w:spacing w:before="240" w:after="0"/>
        <w:ind w:firstLine="540" w:left="0" w:right="0"/>
        <w:jc w:val="both"/>
        <w:rPr>
          <w:color w:val="000000"/>
        </w:rPr>
      </w:pPr>
      <w:r>
        <w:rPr>
          <w:color w:val="000000"/>
        </w:rPr>
        <w:t>в) признать, что работник организации не соблюдал требования об урегулировании конфликта интересов. В этом случае комиссия рекомендует руководителю организации применить к работнику организации конкретную меру ответственности в соответствии с законодательством Российской Федерации.</w:t>
      </w:r>
    </w:p>
    <w:p>
      <w:pPr>
        <w:pStyle w:val="ConsPlusNormal"/>
        <w:spacing w:before="240" w:after="0"/>
        <w:ind w:firstLine="540" w:left="0" w:right="0"/>
        <w:jc w:val="both"/>
        <w:rPr>
          <w:color w:val="000000"/>
        </w:rPr>
      </w:pPr>
      <w:bookmarkStart w:id="23" w:name="Par169"/>
      <w:bookmarkEnd w:id="23"/>
      <w:r>
        <w:rPr>
          <w:color w:val="000000"/>
        </w:rPr>
        <w:t xml:space="preserve">36. По итогам рассмотрения вопроса, указанного в </w:t>
      </w:r>
      <w:hyperlink r:id="rId20" w:tgtFrame="г) представление руководителем организации материалов проверки, свидетельствующих о представлении работником организации недостоверных или неполных сведений, предусмотренных частью 1 статьи 3 Федерального закона от 3 декабря 2012 г. N 230-ФЗ \&quot;О контроле за соответствием расходов лиц, замещающих государственные должности, и иных лиц их доходам\">
        <w:r>
          <w:rPr>
            <w:color w:val="0000FF"/>
          </w:rPr>
          <w:t>подпункте "г" пункта 16</w:t>
        </w:r>
      </w:hyperlink>
      <w:r>
        <w:rPr>
          <w:color w:val="000000"/>
        </w:rPr>
        <w:t xml:space="preserve"> настоящего Положения, комиссия принимает одно из следующих решений:</w:t>
      </w:r>
    </w:p>
    <w:p>
      <w:pPr>
        <w:pStyle w:val="ConsPlusNormal"/>
        <w:spacing w:before="240" w:after="0"/>
        <w:ind w:firstLine="540" w:left="0" w:right="0"/>
        <w:jc w:val="both"/>
        <w:rPr>
          <w:color w:val="000000"/>
        </w:rPr>
      </w:pPr>
      <w:r>
        <w:rPr>
          <w:color w:val="000000"/>
        </w:rPr>
        <w:t>а) признать, что сведения, представленные работником организации в соответствии с частью 1 статьи 3 Федерального закона "О контроле за соответствием расходов лиц, замещающих государственные должности, и иных лиц их доходам", являются достоверными и полными;</w:t>
      </w:r>
    </w:p>
    <w:p>
      <w:pPr>
        <w:pStyle w:val="ConsPlusNormal"/>
        <w:spacing w:before="240" w:after="0"/>
        <w:ind w:firstLine="540" w:left="0" w:right="0"/>
        <w:jc w:val="both"/>
        <w:rPr>
          <w:color w:val="000000"/>
        </w:rPr>
      </w:pPr>
      <w:r>
        <w:rPr>
          <w:color w:val="000000"/>
        </w:rPr>
        <w:t>б) признать, что сведения, представленные работником организации в соответствии с частью 1 статьи 3 Федерального закона "О контроле за соответствием расходов лиц, замещающих государственные должности, и иных лиц их доходам", являются недостоверными и (или) неполными. В этом случае комиссия рекомендует руководителю организации применить к работнику организации конкретную меру ответственности и (или) направить материалы, полученные в результате осуществления контроля за расходами, в органы прокуратуры и (или) иные государственные органы в соответствии с их компетенцией.</w:t>
      </w:r>
    </w:p>
    <w:p>
      <w:pPr>
        <w:pStyle w:val="ConsPlusNormal"/>
        <w:spacing w:before="240" w:after="0"/>
        <w:ind w:firstLine="540" w:left="0" w:right="0"/>
        <w:jc w:val="both"/>
        <w:rPr>
          <w:color w:val="000000"/>
        </w:rPr>
      </w:pPr>
      <w:bookmarkStart w:id="24" w:name="Par172"/>
      <w:bookmarkEnd w:id="24"/>
      <w:r>
        <w:rPr>
          <w:color w:val="000000"/>
        </w:rPr>
        <w:t xml:space="preserve">37. По итогам рассмотрения вопроса, указанного в </w:t>
      </w:r>
      <w:hyperlink r:id="rId21" w:tgtFrame="д) поступившее в соответствии с частью 4 статьи 12 Федерального закона \&quot;О противодействии коррупции\">
        <w:r>
          <w:rPr>
            <w:color w:val="0000FF"/>
          </w:rPr>
          <w:t>подпункте "д" пункта 16</w:t>
        </w:r>
      </w:hyperlink>
      <w:r>
        <w:rPr>
          <w:color w:val="000000"/>
        </w:rPr>
        <w:t xml:space="preserve"> настоящего Положения, комиссия принимает в отношении гражданина, замещавшего должность на основании трудового договора в организации, одно из следующих решений:</w:t>
      </w:r>
    </w:p>
    <w:p>
      <w:pPr>
        <w:pStyle w:val="ConsPlusNormal"/>
        <w:spacing w:before="240" w:after="0"/>
        <w:ind w:firstLine="540" w:left="0" w:right="0"/>
        <w:jc w:val="both"/>
        <w:rPr>
          <w:color w:val="000000"/>
        </w:rPr>
      </w:pPr>
      <w:r>
        <w:rPr>
          <w:color w:val="000000"/>
        </w:rPr>
        <w:t>а) дать согласие на замещение им должности в коммерческой или некоммерческой организации либо на выполнение работы на условиях гражданско-правового договора в коммерческой или некоммерческой организации, если отдельные функции по управлению этой организацией входили в его трудовые обязанности;</w:t>
      </w:r>
    </w:p>
    <w:p>
      <w:pPr>
        <w:pStyle w:val="ConsPlusNormal"/>
        <w:spacing w:before="240" w:after="0"/>
        <w:ind w:firstLine="540" w:left="0" w:right="0"/>
        <w:jc w:val="both"/>
        <w:rPr>
          <w:color w:val="000000"/>
        </w:rPr>
      </w:pPr>
      <w:r>
        <w:rPr>
          <w:color w:val="000000"/>
        </w:rPr>
        <w:t>б) установить, что замещение им на условиях трудового договора должности в коммерческой или некоммерческой организации и (или) выполнение в коммерческой или некоммерческой организации работ (оказание услуг) нарушают требования статьи 12 Федерального закона "О противодействии коррупции". В этом случае комиссия рекомендует руководителю организации проинформировать об указанных обстоятельствах органы прокуратуры и уведомившую организацию.</w:t>
      </w:r>
    </w:p>
    <w:p>
      <w:pPr>
        <w:pStyle w:val="ConsPlusNormal"/>
        <w:spacing w:before="240" w:after="0"/>
        <w:ind w:firstLine="540" w:left="0" w:right="0"/>
        <w:jc w:val="both"/>
        <w:rPr>
          <w:color w:val="000000"/>
        </w:rPr>
      </w:pPr>
      <w:r>
        <w:rPr>
          <w:color w:val="000000"/>
        </w:rPr>
        <w:t xml:space="preserve">38. По итогам рассмотрения вопросов, предусмотренных </w:t>
      </w:r>
      <w:hyperlink w:anchor="Par98" w:tgtFrame="а) представление директором Федеральной службы войск национальной гвардии Российской Федерации - главнокомандующим войсками национальной гвардии Российской Федерации, его первым заместителем (заместителями), начальником Главного управления кадров Федеральной службы войск национальной гвардии Российской Федерации &lt;1&gt;, руководителем организации материалов проверки достоверности и полноты сведений о доходах, об имуществе и обязательствах имущественного характера работника организации, а также сведений о дох...">
        <w:r>
          <w:rPr>
            <w:color w:val="0000FF"/>
          </w:rPr>
          <w:t>подпунктами "а"</w:t>
        </w:r>
      </w:hyperlink>
      <w:r>
        <w:rPr>
          <w:color w:val="000000"/>
        </w:rPr>
        <w:t xml:space="preserve">, </w:t>
      </w:r>
      <w:hyperlink w:anchor="Par106" w:tgtFrame="б) поступившее в организацию:">
        <w:r>
          <w:rPr>
            <w:color w:val="0000FF"/>
          </w:rPr>
          <w:t>"б"</w:t>
        </w:r>
      </w:hyperlink>
      <w:r>
        <w:rPr>
          <w:color w:val="000000"/>
        </w:rPr>
        <w:t xml:space="preserve">, </w:t>
      </w:r>
      <w:hyperlink r:id="rId22" w:tgtFrame="г) представление руководителем организации материалов проверки, свидетельствующих о представлении работником организации недостоверных или неполных сведений, предусмотренных частью 1 статьи 3 Федерального закона от 3 декабря 2012 г. N 230-ФЗ \&quot;О контроле за соответствием расходов лиц, замещающих государственные должности, и иных лиц их доходам\">
        <w:r>
          <w:rPr>
            <w:color w:val="0000FF"/>
          </w:rPr>
          <w:t>"г"</w:t>
        </w:r>
      </w:hyperlink>
      <w:r>
        <w:rPr>
          <w:color w:val="000000"/>
        </w:rPr>
        <w:t xml:space="preserve"> и </w:t>
      </w:r>
      <w:hyperlink r:id="rId23" w:tgtFrame="д) поступившее в соответствии с частью 4 статьи 12 Федерального закона \&quot;О противодействии коррупции\">
        <w:r>
          <w:rPr>
            <w:color w:val="0000FF"/>
          </w:rPr>
          <w:t>"д" пункта 16</w:t>
        </w:r>
      </w:hyperlink>
      <w:r>
        <w:rPr>
          <w:color w:val="000000"/>
        </w:rPr>
        <w:t xml:space="preserve"> настоящего Положения, и при наличии к тому оснований комиссия может принять иное решение, чем это предусмотрено </w:t>
      </w:r>
      <w:hyperlink r:id="rId24" w:tgtFrame="30. По итогам рассмотрения вопроса, указанного в абзаце втором подпункта \&quot;а\">
        <w:r>
          <w:rPr>
            <w:color w:val="0000FF"/>
          </w:rPr>
          <w:t>пунктами 30</w:t>
        </w:r>
      </w:hyperlink>
      <w:r>
        <w:rPr>
          <w:color w:val="000000"/>
        </w:rPr>
        <w:t xml:space="preserve"> - </w:t>
      </w:r>
      <w:hyperlink r:id="rId25" w:tgtFrame="37. По итогам рассмотрения вопроса, указанного в подпункте \&quot;д\">
        <w:r>
          <w:rPr>
            <w:color w:val="0000FF"/>
          </w:rPr>
          <w:t>37</w:t>
        </w:r>
      </w:hyperlink>
      <w:r>
        <w:rPr>
          <w:color w:val="000000"/>
        </w:rPr>
        <w:t xml:space="preserve"> настоящего Положения. Основания и мотивы принятия такого решения должны быть отражены в протоколе заседания комиссии.</w:t>
      </w:r>
    </w:p>
    <w:p>
      <w:pPr>
        <w:pStyle w:val="ConsPlusNormal"/>
        <w:spacing w:before="240" w:after="0"/>
        <w:ind w:firstLine="540" w:left="0" w:right="0"/>
        <w:jc w:val="both"/>
        <w:rPr>
          <w:color w:val="000000"/>
        </w:rPr>
      </w:pPr>
      <w:r>
        <w:rPr>
          <w:color w:val="000000"/>
        </w:rPr>
        <w:t xml:space="preserve">39. По итогам рассмотрения вопроса, предусмотренного </w:t>
      </w:r>
      <w:hyperlink w:anchor="Par119" w:tgtFrame="в) представление руководителя организации или любого члена комиссии, касающееся обеспечения соблюдения работниками организации требований к служебному поведению и (или) требований об урегулировании конфликта интересов либо осуществления в организации мер по предупреждению коррупции;">
        <w:r>
          <w:rPr>
            <w:color w:val="0000FF"/>
          </w:rPr>
          <w:t>подпунктом "в" пункта 16</w:t>
        </w:r>
      </w:hyperlink>
      <w:r>
        <w:rPr>
          <w:color w:val="000000"/>
        </w:rPr>
        <w:t xml:space="preserve"> настоящего Положения, комиссия принимает решение по существу вопроса.</w:t>
      </w:r>
    </w:p>
    <w:p>
      <w:pPr>
        <w:pStyle w:val="ConsPlusNormal"/>
        <w:spacing w:before="240" w:after="0"/>
        <w:ind w:firstLine="540" w:left="0" w:right="0"/>
        <w:jc w:val="both"/>
        <w:rPr>
          <w:color w:val="000000"/>
        </w:rPr>
      </w:pPr>
      <w:r>
        <w:rPr>
          <w:color w:val="000000"/>
        </w:rPr>
        <w:t>40. Для исполнения решений комиссии ее секретарем могут быть подготовлены проекты актов, решений или поручений руководителя организации, которые представляются на рассмотрение руководителю организации.</w:t>
      </w:r>
    </w:p>
    <w:p>
      <w:pPr>
        <w:pStyle w:val="ConsPlusNormal"/>
        <w:spacing w:before="240" w:after="0"/>
        <w:ind w:firstLine="540" w:left="0" w:right="0"/>
        <w:jc w:val="both"/>
        <w:rPr>
          <w:color w:val="000000"/>
        </w:rPr>
      </w:pPr>
      <w:r>
        <w:rPr>
          <w:color w:val="000000"/>
        </w:rPr>
        <w:t xml:space="preserve">41. Решения комиссии по вопросам, указанным в </w:t>
      </w:r>
      <w:hyperlink w:anchor="Par97" w:tgtFrame="16. Основаниями для проведения заседания комиссии являются:">
        <w:r>
          <w:rPr>
            <w:color w:val="0000FF"/>
          </w:rPr>
          <w:t>пункте 16</w:t>
        </w:r>
      </w:hyperlink>
      <w:r>
        <w:rPr>
          <w:color w:val="000000"/>
        </w:rPr>
        <w:t xml:space="preserve"> настоящего Положения, принимаются тайным голосованием простым большинством голосов присутствующих на заседании членов комиссии.</w:t>
      </w:r>
    </w:p>
    <w:p>
      <w:pPr>
        <w:pStyle w:val="ConsPlusNormal"/>
        <w:spacing w:before="240" w:after="0"/>
        <w:ind w:firstLine="540" w:left="0" w:right="0"/>
        <w:jc w:val="both"/>
        <w:rPr>
          <w:color w:val="000000"/>
        </w:rPr>
      </w:pPr>
      <w:r>
        <w:rPr>
          <w:color w:val="000000"/>
        </w:rPr>
        <w:t xml:space="preserve">42. Решения комиссии оформляются протоколами, которые подписывают члены комиссии, принимавшие участие в ее заседании. Решения комиссии носят рекомендательный характер для руководителя организации, за исключением решения, принимаемого по итогам рассмотрения вопроса, указанного в </w:t>
      </w:r>
      <w:hyperlink w:anchor="Par107" w:tgtFrame="обращение гражданина, замещавшего должность на основании трудового договора в организации, включенную в Перечень должностей федеральной государственной службы в войсках национальной гвардии Российской Федерации и должностей работников в организациях, создаваемых для выполнения задач, поставленных перед Росгвардией, при замещении которых федеральные государственные служащие, работники, а также граждане при назначении на должности в организациях, создаваемых для выполнения задач, поставленных перед Росгвар...">
        <w:r>
          <w:rPr>
            <w:color w:val="0000FF"/>
          </w:rPr>
          <w:t>абзаце втором подпункта "б" пункта 16</w:t>
        </w:r>
      </w:hyperlink>
      <w:r>
        <w:rPr>
          <w:color w:val="000000"/>
        </w:rPr>
        <w:t xml:space="preserve"> настоящего Положения, которое носит обязательный характер.</w:t>
      </w:r>
    </w:p>
    <w:p>
      <w:pPr>
        <w:pStyle w:val="ConsPlusNormal"/>
        <w:spacing w:before="240" w:after="0"/>
        <w:ind w:firstLine="540" w:left="0" w:right="0"/>
        <w:jc w:val="both"/>
        <w:rPr>
          <w:color w:val="000000"/>
        </w:rPr>
      </w:pPr>
      <w:r>
        <w:rPr>
          <w:color w:val="000000"/>
        </w:rPr>
        <w:t>43. В протоколе заседания комиссии указываются:</w:t>
      </w:r>
    </w:p>
    <w:p>
      <w:pPr>
        <w:pStyle w:val="ConsPlusNormal"/>
        <w:spacing w:before="240" w:after="0"/>
        <w:ind w:firstLine="540" w:left="0" w:right="0"/>
        <w:jc w:val="both"/>
        <w:rPr>
          <w:color w:val="000000"/>
        </w:rPr>
      </w:pPr>
      <w:r>
        <w:rPr>
          <w:color w:val="000000"/>
        </w:rPr>
        <w:t>а) дата заседания комиссии, фамилии, имена, отчества (последнее - при наличии) членов комиссии и других лиц, присутствующих на заседании;</w:t>
      </w:r>
    </w:p>
    <w:p>
      <w:pPr>
        <w:pStyle w:val="ConsPlusNormal"/>
        <w:spacing w:before="240" w:after="0"/>
        <w:ind w:firstLine="540" w:left="0" w:right="0"/>
        <w:jc w:val="both"/>
        <w:rPr>
          <w:color w:val="000000"/>
        </w:rPr>
      </w:pPr>
      <w:r>
        <w:rPr>
          <w:color w:val="000000"/>
        </w:rPr>
        <w:t>б) формулировка каждого из рассматриваемых на заседании комиссии вопросов с указанием фамилии, имени, отчества (последнее - при наличии), должности работника организации, в отношении которого рассматривается вопрос о соблюдении требований к служебному поведению и (или) требований об урегулировании конфликта интересов;</w:t>
      </w:r>
    </w:p>
    <w:p>
      <w:pPr>
        <w:pStyle w:val="ConsPlusNormal"/>
        <w:spacing w:before="240" w:after="0"/>
        <w:ind w:firstLine="540" w:left="0" w:right="0"/>
        <w:jc w:val="both"/>
        <w:rPr>
          <w:color w:val="000000"/>
        </w:rPr>
      </w:pPr>
      <w:r>
        <w:rPr>
          <w:color w:val="000000"/>
        </w:rPr>
        <w:t>в) предъявляемые к работнику организации претензии и материалы, на которых они основываются;</w:t>
      </w:r>
    </w:p>
    <w:p>
      <w:pPr>
        <w:pStyle w:val="ConsPlusNormal"/>
        <w:spacing w:before="240" w:after="0"/>
        <w:ind w:firstLine="540" w:left="0" w:right="0"/>
        <w:jc w:val="both"/>
        <w:rPr>
          <w:color w:val="000000"/>
        </w:rPr>
      </w:pPr>
      <w:r>
        <w:rPr>
          <w:color w:val="000000"/>
        </w:rPr>
        <w:t>г) содержание пояснений работника организации и других лиц по существу предъявляемых претензий;</w:t>
      </w:r>
    </w:p>
    <w:p>
      <w:pPr>
        <w:pStyle w:val="ConsPlusNormal"/>
        <w:spacing w:before="240" w:after="0"/>
        <w:ind w:firstLine="540" w:left="0" w:right="0"/>
        <w:jc w:val="both"/>
        <w:rPr>
          <w:color w:val="000000"/>
        </w:rPr>
      </w:pPr>
      <w:r>
        <w:rPr>
          <w:color w:val="000000"/>
        </w:rPr>
        <w:t>д) фамилии, имена, отчества (последнее - при наличии) выступивших на заседании лиц и краткое изложение их выступлений;</w:t>
      </w:r>
    </w:p>
    <w:p>
      <w:pPr>
        <w:pStyle w:val="ConsPlusNormal"/>
        <w:spacing w:before="240" w:after="0"/>
        <w:ind w:firstLine="540" w:left="0" w:right="0"/>
        <w:jc w:val="both"/>
        <w:rPr>
          <w:color w:val="000000"/>
        </w:rPr>
      </w:pPr>
      <w:r>
        <w:rPr>
          <w:color w:val="000000"/>
        </w:rPr>
        <w:t>е) источник информации, содержащей основания для проведения заседания комиссии, дата поступления информации в организацию;</w:t>
      </w:r>
    </w:p>
    <w:p>
      <w:pPr>
        <w:pStyle w:val="ConsPlusNormal"/>
        <w:spacing w:before="240" w:after="0"/>
        <w:ind w:firstLine="540" w:left="0" w:right="0"/>
        <w:jc w:val="both"/>
        <w:rPr>
          <w:color w:val="000000"/>
        </w:rPr>
      </w:pPr>
      <w:r>
        <w:rPr>
          <w:color w:val="000000"/>
        </w:rPr>
        <w:t>ж) другие сведения;</w:t>
      </w:r>
    </w:p>
    <w:p>
      <w:pPr>
        <w:pStyle w:val="ConsPlusNormal"/>
        <w:spacing w:before="240" w:after="0"/>
        <w:ind w:firstLine="540" w:left="0" w:right="0"/>
        <w:jc w:val="both"/>
        <w:rPr>
          <w:color w:val="000000"/>
        </w:rPr>
      </w:pPr>
      <w:r>
        <w:rPr>
          <w:color w:val="000000"/>
        </w:rPr>
        <w:t>з) результаты голосования;</w:t>
      </w:r>
    </w:p>
    <w:p>
      <w:pPr>
        <w:pStyle w:val="ConsPlusNormal"/>
        <w:spacing w:before="240" w:after="0"/>
        <w:ind w:firstLine="540" w:left="0" w:right="0"/>
        <w:jc w:val="both"/>
        <w:rPr>
          <w:color w:val="000000"/>
        </w:rPr>
      </w:pPr>
      <w:r>
        <w:rPr>
          <w:color w:val="000000"/>
        </w:rPr>
        <w:t>и) решение и обоснование его принятия.</w:t>
      </w:r>
    </w:p>
    <w:p>
      <w:pPr>
        <w:pStyle w:val="ConsPlusNormal"/>
        <w:spacing w:before="240" w:after="0"/>
        <w:ind w:firstLine="540" w:left="0" w:right="0"/>
        <w:jc w:val="both"/>
        <w:rPr>
          <w:color w:val="000000"/>
        </w:rPr>
      </w:pPr>
      <w:r>
        <w:rPr>
          <w:color w:val="000000"/>
        </w:rPr>
        <w:t>44. Член комиссии, не согласный с ее решением, вправе в письменной форме изложить свое мнение, которое подлежит обязательному приобщению к протоколу заседания комиссии и с которым должен быть ознакомлен работник организации.</w:t>
      </w:r>
    </w:p>
    <w:p>
      <w:pPr>
        <w:pStyle w:val="ConsPlusNormal"/>
        <w:spacing w:before="240" w:after="0"/>
        <w:ind w:firstLine="540" w:left="0" w:right="0"/>
        <w:jc w:val="both"/>
        <w:rPr>
          <w:color w:val="000000"/>
        </w:rPr>
      </w:pPr>
      <w:r>
        <w:rPr>
          <w:color w:val="000000"/>
        </w:rPr>
        <w:t>45. Копии протокола заседания комиссии в семидневный срок со дня заседания направляются руководителю организации, полностью или в виде выписок из него - работнику организации, а также по решению комиссии - иным заинтересованным лицам.</w:t>
      </w:r>
    </w:p>
    <w:p>
      <w:pPr>
        <w:pStyle w:val="ConsPlusNormal"/>
        <w:spacing w:before="240" w:after="0"/>
        <w:ind w:firstLine="540" w:left="0" w:right="0"/>
        <w:jc w:val="both"/>
        <w:rPr>
          <w:color w:val="000000"/>
        </w:rPr>
      </w:pPr>
      <w:r>
        <w:rPr>
          <w:color w:val="000000"/>
        </w:rPr>
        <w:t>46. Руководитель организации обязан рассмотреть протокол заседания комиссии и вправе учесть в пределах своей компетенции содержащиеся в нем рекомендации при принятии решения о применении к работнику организации мер ответственности, предусмотренных нормативными правовыми актами Российской Федерации, а также по иным вопросам организации противодействия коррупции. О рассмотрении рекомендаций комиссии и принятом решении руководитель организации в письменной форме уведомляет комиссию в месячный срок со дня поступления к нему протокола заседания комиссии. Решение руководителя организации озвучивается на ближайшем заседании комиссии и принимается к сведению без обсуждения.</w:t>
      </w:r>
    </w:p>
    <w:p>
      <w:pPr>
        <w:pStyle w:val="ConsPlusNormal"/>
        <w:spacing w:before="240" w:after="0"/>
        <w:ind w:firstLine="540" w:left="0" w:right="0"/>
        <w:jc w:val="both"/>
        <w:rPr>
          <w:color w:val="000000"/>
        </w:rPr>
      </w:pPr>
      <w:r>
        <w:rPr>
          <w:color w:val="000000"/>
        </w:rPr>
        <w:t>47. В случае установления комиссией признаков дисциплинарного проступка в действиях (бездействии) работника организации информация об этом представляется руководителю организации для решения вопроса о применении к работнику организации мер ответственности, предусмотренных нормативными правовыми актами Российской Федерации.</w:t>
      </w:r>
    </w:p>
    <w:p>
      <w:pPr>
        <w:pStyle w:val="ConsPlusNormal"/>
        <w:spacing w:before="240" w:after="0"/>
        <w:ind w:firstLine="540" w:left="0" w:right="0"/>
        <w:jc w:val="both"/>
        <w:rPr>
          <w:color w:val="000000"/>
        </w:rPr>
      </w:pPr>
      <w:r>
        <w:rPr>
          <w:color w:val="000000"/>
        </w:rPr>
        <w:t>48. В случае установления комиссией факта совершения работником организации действия (факта бездействия), содержащего признаки административного правонарушения или состава преступления, председатель комиссии обязан передать информацию о совершении указанного действия (бездействия) и подтверждающие такой факт документы в правоприменительные органы в трехдневный срок, а при необходимости - немедленно.</w:t>
      </w:r>
    </w:p>
    <w:p>
      <w:pPr>
        <w:pStyle w:val="ConsPlusNormal"/>
        <w:spacing w:before="240" w:after="0"/>
        <w:ind w:firstLine="540" w:left="0" w:right="0"/>
        <w:jc w:val="both"/>
        <w:rPr>
          <w:color w:val="000000"/>
        </w:rPr>
      </w:pPr>
      <w:r>
        <w:rPr>
          <w:color w:val="000000"/>
        </w:rPr>
        <w:t xml:space="preserve">49. Выписка из решения комиссии, заверенная подписью секретаря комиссии и печатью организации, вручается гражданину, замещавшему должность в организации, в отношении которого рассматривался вопрос, указанный в </w:t>
      </w:r>
      <w:hyperlink w:anchor="Par107" w:tgtFrame="обращение гражданина, замещавшего должность на основании трудового договора в организации, включенную в Перечень должностей федеральной государственной службы в войсках национальной гвардии Российской Федерации и должностей работников в организациях, создаваемых для выполнения задач, поставленных перед Росгвардией, при замещении которых федеральные государственные служащие, работники, а также граждане при назначении на должности в организациях, создаваемых для выполнения задач, поставленных перед Росгвар...">
        <w:r>
          <w:rPr>
            <w:color w:val="0000FF"/>
          </w:rPr>
          <w:t>абзаце втором подпункта "б" пункта 16</w:t>
        </w:r>
      </w:hyperlink>
      <w:r>
        <w:rPr>
          <w:color w:val="000000"/>
        </w:rPr>
        <w:t xml:space="preserve"> настоящего Положения, под подпись или направляется заказным письмом с уведомлением по указанному им в обращении адресу не позднее одного рабочего дня, следующего за днем проведения соответствующего заседания комиссии.</w:t>
      </w:r>
    </w:p>
    <w:p>
      <w:pPr>
        <w:pStyle w:val="ConsPlusNormal"/>
        <w:spacing w:before="240" w:after="0"/>
        <w:ind w:firstLine="540" w:left="0" w:right="0"/>
        <w:jc w:val="both"/>
        <w:rPr>
          <w:color w:val="000000"/>
        </w:rPr>
      </w:pPr>
      <w:r>
        <w:rPr>
          <w:color w:val="000000"/>
        </w:rPr>
        <w:t>50. Организационно-техническое и документационное обеспечение деятельности комиссии, информирование членов комиссии о вопросах, включенных в повестку дня, о дате, времени и месте проведения заседания, ознакомление членов комиссии с материалами, представляемыми для обсуждения на заседании комиссии, осуществляются руководителем подразделения (должностным лицом) организации по профилактике коррупционных правонарушений.</w:t>
      </w:r>
    </w:p>
    <w:p>
      <w:pPr>
        <w:pStyle w:val="ConsPlusNormal"/>
        <w:ind w:firstLine="540" w:left="0" w:right="0"/>
        <w:jc w:val="both"/>
        <w:rPr>
          <w:color w:val="000000"/>
        </w:rPr>
      </w:pPr>
      <w:r>
        <w:rPr>
          <w:color w:val="000000"/>
        </w:rPr>
      </w:r>
    </w:p>
    <w:p>
      <w:pPr>
        <w:pStyle w:val="ConsPlusNormal"/>
        <w:ind w:firstLine="540" w:left="0" w:right="0"/>
        <w:jc w:val="both"/>
        <w:rPr>
          <w:color w:val="000000"/>
        </w:rPr>
      </w:pPr>
      <w:r>
        <w:rPr>
          <w:color w:val="000000"/>
        </w:rPr>
      </w:r>
    </w:p>
    <w:p>
      <w:pPr>
        <w:pStyle w:val="ConsPlusNormal"/>
        <w:pBdr>
          <w:top w:val="single" w:sz="6" w:space="0" w:color="000000"/>
        </w:pBdr>
        <w:spacing w:before="100" w:after="100"/>
        <w:ind w:hanging="0" w:left="0" w:right="0"/>
        <w:jc w:val="both"/>
        <w:rPr>
          <w:color w:val="000000"/>
        </w:rPr>
      </w:pPr>
      <w:r>
        <w:rPr>
          <w:color w:val="000000"/>
        </w:rPr>
      </w:r>
    </w:p>
    <w:sectPr>
      <w:type w:val="nextPage"/>
      <w:pgSz w:w="11906" w:h="16838"/>
      <w:pgMar w:left="595" w:right="595" w:gutter="0" w:header="0" w:top="841" w:footer="0" w:bottom="84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PT Sans">
    <w:charset w:val="01"/>
    <w:family w:val="roman"/>
    <w:pitch w:val="variable"/>
  </w:font>
  <w:font w:name="Liberation Sans">
    <w:altName w:val="Arial"/>
    <w:charset w:val="01"/>
    <w:family w:val="swiss"/>
    <w:pitch w:val="variable"/>
  </w:font>
  <w:font w:name="Times New Roman">
    <w:charset w:val="01"/>
    <w:family w:val="roman"/>
    <w:pitch w:val="variable"/>
  </w:font>
  <w:font w:name="Courier New">
    <w:charset w:val="01"/>
    <w:family w:val="roman"/>
    <w:pitch w:val="variable"/>
  </w:font>
  <w:font w:name="Arial">
    <w:charset w:val="01"/>
    <w:family w:val="roman"/>
    <w:pitch w:val="variable"/>
  </w:font>
  <w:font w:name="Tahoma">
    <w:charset w:val="01"/>
    <w:family w:val="roman"/>
    <w:pitch w:val="variable"/>
  </w:font>
</w:fonts>
</file>

<file path=word/settings.xml><?xml version="1.0" encoding="utf-8"?>
<w:settings xmlns:w="http://schemas.openxmlformats.org/wordprocessingml/2006/main">
  <w:zoom w:percent="80"/>
  <w:defaultTabStop w:val="720"/>
  <w:autoHyphenation w:val="true"/>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urce Han Serif CN" w:cs="Noto Sans Devanagari"/>
        <w:kern w:val="2"/>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bidi w:val="0"/>
    </w:pPr>
    <w:rPr>
      <w:rFonts w:ascii="PT Sans" w:hAnsi="PT Sans" w:eastAsia="Noto Sans Devanagari" w:cs="Liberation Serif"/>
      <w:color w:val="auto"/>
      <w:kern w:val="2"/>
      <w:sz w:val="24"/>
      <w:szCs w:val="24"/>
      <w:lang w:val="ru-RU" w:eastAsia="hi-IN" w:bidi="hi-IN"/>
    </w:rPr>
  </w:style>
  <w:style w:type="character" w:styleId="-">
    <w:name w:val="Интернет-ссылка"/>
    <w:qFormat/>
    <w:rPr>
      <w:color w:val="000080"/>
      <w:u w:val="single"/>
      <w:lang w:val="zxx" w:eastAsia="zxx"/>
    </w:rPr>
  </w:style>
  <w:style w:type="character" w:styleId="Hyperlink">
    <w:name w:val="Hyperlink"/>
    <w:rPr>
      <w:color w:val="000080"/>
      <w:u w:val="single"/>
    </w:rPr>
  </w:style>
  <w:style w:type="paragraph" w:styleId="Heading">
    <w:name w:val="Heading"/>
    <w:basedOn w:val="Normal"/>
    <w:next w:val="BodyText"/>
    <w:qFormat/>
    <w:pPr>
      <w:keepNext w:val="true"/>
      <w:spacing w:before="240" w:after="120"/>
    </w:pPr>
    <w:rPr>
      <w:rFonts w:ascii="Liberation Sans" w:hAnsi="Liberation Sans" w:eastAsia="Source Han Sans CN"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Style14">
    <w:name w:val="Заголовок"/>
    <w:basedOn w:val="Normal"/>
    <w:qFormat/>
    <w:pPr>
      <w:keepNext w:val="true"/>
      <w:spacing w:before="240" w:after="120"/>
    </w:pPr>
    <w:rPr>
      <w:sz w:val="28"/>
    </w:rPr>
  </w:style>
  <w:style w:type="paragraph" w:styleId="Style15">
    <w:name w:val="Основной текст"/>
    <w:basedOn w:val="Normal"/>
    <w:qFormat/>
    <w:pPr>
      <w:spacing w:lineRule="auto" w:line="276" w:before="0" w:after="140"/>
    </w:pPr>
    <w:rPr/>
  </w:style>
  <w:style w:type="paragraph" w:styleId="Style16">
    <w:name w:val="Список"/>
    <w:basedOn w:val="Style15"/>
    <w:qFormat/>
    <w:pPr>
      <w:spacing w:lineRule="auto" w:line="276" w:before="0" w:after="140"/>
    </w:pPr>
    <w:rPr/>
  </w:style>
  <w:style w:type="paragraph" w:styleId="Style17">
    <w:name w:val="Название"/>
    <w:basedOn w:val="Normal"/>
    <w:qFormat/>
    <w:pPr>
      <w:spacing w:before="120" w:after="120"/>
    </w:pPr>
    <w:rPr>
      <w:i/>
    </w:rPr>
  </w:style>
  <w:style w:type="paragraph" w:styleId="Style18">
    <w:name w:val="Указатель"/>
    <w:basedOn w:val="Normal"/>
    <w:qFormat/>
    <w:pPr/>
    <w:rPr/>
  </w:style>
  <w:style w:type="paragraph" w:styleId="ConsPlusNormal">
    <w:name w:val="ConsPlusNormal"/>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Nonformat">
    <w:name w:val="ConsPlusNonformat"/>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Title">
    <w:name w:val="ConsPlusTitle"/>
    <w:qFormat/>
    <w:pPr>
      <w:widowControl w:val="false"/>
      <w:suppressAutoHyphens w:val="true"/>
      <w:bidi w:val="0"/>
    </w:pPr>
    <w:rPr>
      <w:rFonts w:ascii="Arial" w:hAnsi="Arial" w:eastAsia="Courier New" w:cs="Liberation Serif"/>
      <w:b/>
      <w:i w:val="false"/>
      <w:strike w:val="false"/>
      <w:dstrike w:val="false"/>
      <w:color w:val="auto"/>
      <w:kern w:val="2"/>
      <w:sz w:val="24"/>
      <w:szCs w:val="24"/>
      <w:u w:val="none"/>
      <w:lang w:val="ru-RU" w:eastAsia="hi-IN" w:bidi="hi-IN"/>
    </w:rPr>
  </w:style>
  <w:style w:type="paragraph" w:styleId="ConsPlusCell">
    <w:name w:val="ConsPlusCell"/>
    <w:qFormat/>
    <w:pPr>
      <w:widowControl w:val="false"/>
      <w:suppressAutoHyphens w:val="true"/>
      <w:bidi w:val="0"/>
    </w:pPr>
    <w:rPr>
      <w:rFonts w:ascii="Courier New" w:hAnsi="Courier New" w:eastAsia="Courier New" w:cs="Liberation Serif"/>
      <w:b w:val="false"/>
      <w:i w:val="false"/>
      <w:strike w:val="false"/>
      <w:dstrike w:val="false"/>
      <w:color w:val="auto"/>
      <w:kern w:val="2"/>
      <w:sz w:val="20"/>
      <w:szCs w:val="24"/>
      <w:u w:val="none"/>
      <w:lang w:val="ru-RU" w:eastAsia="hi-IN" w:bidi="hi-IN"/>
    </w:rPr>
  </w:style>
  <w:style w:type="paragraph" w:styleId="ConsPlusDocList">
    <w:name w:val="ConsPlusDocList"/>
    <w:qFormat/>
    <w:pPr>
      <w:widowControl w:val="false"/>
      <w:suppressAutoHyphens w:val="true"/>
      <w:bidi w:val="0"/>
    </w:pPr>
    <w:rPr>
      <w:rFonts w:ascii="Tahoma" w:hAnsi="Tahoma" w:eastAsia="Courier New" w:cs="Liberation Serif"/>
      <w:b w:val="false"/>
      <w:i w:val="false"/>
      <w:strike w:val="false"/>
      <w:dstrike w:val="false"/>
      <w:color w:val="auto"/>
      <w:kern w:val="2"/>
      <w:sz w:val="18"/>
      <w:szCs w:val="24"/>
      <w:u w:val="none"/>
      <w:lang w:val="ru-RU" w:eastAsia="hi-IN" w:bidi="hi-IN"/>
    </w:rPr>
  </w:style>
  <w:style w:type="paragraph" w:styleId="ConsPlusTitlePage">
    <w:name w:val="ConsPlusTitlePage"/>
    <w:qFormat/>
    <w:pPr>
      <w:widowControl w:val="false"/>
      <w:suppressAutoHyphens w:val="true"/>
      <w:bidi w:val="0"/>
    </w:pPr>
    <w:rPr>
      <w:rFonts w:ascii="Tahoma" w:hAnsi="Tahoma" w:eastAsia="Courier New" w:cs="Liberation Serif"/>
      <w:b w:val="false"/>
      <w:i w:val="false"/>
      <w:strike w:val="false"/>
      <w:dstrike w:val="false"/>
      <w:color w:val="auto"/>
      <w:kern w:val="2"/>
      <w:sz w:val="24"/>
      <w:szCs w:val="24"/>
      <w:u w:val="none"/>
      <w:lang w:val="ru-RU" w:eastAsia="hi-IN" w:bidi="hi-IN"/>
    </w:rPr>
  </w:style>
  <w:style w:type="paragraph" w:styleId="ConsPlusJurTerm">
    <w:name w:val="ConsPlusJurTerm"/>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ConsPlusTextList">
    <w:name w:val="ConsPlusTextList"/>
    <w:qFormat/>
    <w:pPr>
      <w:widowControl w:val="false"/>
      <w:suppressAutoHyphens w:val="true"/>
      <w:bidi w:val="0"/>
    </w:pPr>
    <w:rPr>
      <w:rFonts w:ascii="Times New Roman" w:hAnsi="Times New Roman" w:eastAsia="Courier New" w:cs="Liberation Serif"/>
      <w:b w:val="false"/>
      <w:i w:val="false"/>
      <w:strike w:val="false"/>
      <w:dstrike w:val="false"/>
      <w:color w:val="auto"/>
      <w:kern w:val="2"/>
      <w:sz w:val="24"/>
      <w:szCs w:val="24"/>
      <w:u w:val="none"/>
      <w:lang w:val="ru-RU" w:eastAsia="hi-IN" w:bidi="hi-IN"/>
    </w:rPr>
  </w:style>
  <w:style w:type="paragraph" w:styleId="Style19">
    <w:name w:val="Верхний и нижний колонтитулы"/>
    <w:basedOn w:val="Normal"/>
    <w:qFormat/>
    <w:pPr/>
    <w:rPr/>
  </w:style>
  <w:style w:type="paragraph" w:styleId="Style20">
    <w:name w:val="Верхний колонтитул"/>
    <w:basedOn w:val="Style19"/>
    <w:qFormat/>
    <w:pPr/>
    <w:rPr/>
  </w:style>
  <w:style w:type="paragraph" w:styleId="Style21">
    <w:name w:val="Нижний колонтитул"/>
    <w:basedOn w:val="Style19"/>
    <w:qFormat/>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https://www.consultant.ru/" TargetMode="External"/><Relationship Id="rId4" Type="http://schemas.openxmlformats.org/officeDocument/2006/relationships/hyperlink" Target="https://www.consultant.ru/" TargetMode="External"/><Relationship Id="rId5" Type="http://schemas.openxmlformats.org/officeDocument/2006/relationships/hyperlink" Target="../../../../../../../../../../../tmp/mozilla_avdeevdv0/&#1080;&#1089;..." TargetMode="External"/><Relationship Id="rId6" Type="http://schemas.openxmlformats.org/officeDocument/2006/relationships/hyperlink" Target="../../../../../../../../../../../tmp/mozilla_avdeevdv0/&#1080;&#1089;..." TargetMode="External"/><Relationship Id="rId7" Type="http://schemas.openxmlformats.org/officeDocument/2006/relationships/hyperlink" Target="../../../../../../../../../../../tmp/mozilla_avdeevdv0/&#1086;&#1073;&#1103;&#1079;&#1072;&#1085;&#1085;&#1086;&#1089;&#1090;&#1080;..." TargetMode="External"/><Relationship Id="rId8" Type="http://schemas.openxmlformats.org/officeDocument/2006/relationships/hyperlink" Target="../../../../../../../../../../../tmp/mozilla_avdeevdv0/&#1091;&#1074;&#1077;&#1076;&#1086;&#1084;&#1083;&#1077;&#1085;&#1080;&#1103;." TargetMode="External"/><Relationship Id="rId9" Type="http://schemas.openxmlformats.org/officeDocument/2006/relationships/hyperlink" Target="../../../../../../../../../../../tmp/mozilla_avdeevdv0/&#1082;&#1086;&#1088;&#1088;&#1091;&#1087;&#1094;&#1080;&#1080;/%22." TargetMode="External"/><Relationship Id="rId10" Type="http://schemas.openxmlformats.org/officeDocument/2006/relationships/hyperlink" Target="../../../../../../../../../../../tmp/mozilla_avdeevdv0/&#1080;&#1089;..." TargetMode="External"/><Relationship Id="rId11" Type="http://schemas.openxmlformats.org/officeDocument/2006/relationships/hyperlink" Target="../../../../../../../../../../../tmp/mozilla_avdeevdv0/&#1080;&#1089;..." TargetMode="External"/><Relationship Id="rId12" Type="http://schemas.openxmlformats.org/officeDocument/2006/relationships/hyperlink" Target="../../../../../../../../../../../tmp/mozilla_avdeevdv0/&#1088;&#1077;&#1096;&#1077;&#1085;&#1080;&#1081;:" TargetMode="External"/><Relationship Id="rId13" Type="http://schemas.openxmlformats.org/officeDocument/2006/relationships/hyperlink" Target="../../../../../../../../../../../tmp/mozilla_avdeevdv0/&#1088;&#1077;&#1096;&#1077;&#1085;&#1080;&#1081;:" TargetMode="External"/><Relationship Id="rId14" Type="http://schemas.openxmlformats.org/officeDocument/2006/relationships/hyperlink" Target="../../../../../../../../../../../tmp/mozilla_avdeevdv0/&#1088;&#1077;&#1096;&#1077;&#1085;&#1080;&#1081;:" TargetMode="External"/><Relationship Id="rId15" Type="http://schemas.openxmlformats.org/officeDocument/2006/relationships/hyperlink" Target="../../../../../../../../../../../tmp/mozilla_avdeevdv0/&#1082;&#1086;&#1084;&#1080;&#1089;&#1089;&#1080;&#1080;." TargetMode="External"/><Relationship Id="rId16" Type="http://schemas.openxmlformats.org/officeDocument/2006/relationships/hyperlink" Target="../../../../../../../../../../../tmp/mozilla_avdeevdv0/&#1055;&#1086;&#1083;&#1086;&#1078;&#1077;&#1085;&#1080;&#1103;." TargetMode="External"/><Relationship Id="rId17" Type="http://schemas.openxmlformats.org/officeDocument/2006/relationships/hyperlink" Target="../../../../../../../../../../../tmp/mozilla_avdeevdv0/&#1079;&#1072;&#1082;&#1086;&#1085;..." TargetMode="External"/><Relationship Id="rId18" Type="http://schemas.openxmlformats.org/officeDocument/2006/relationships/hyperlink" Target="../../../../../../../../../../../tmp/mozilla_avdeevdv0/&#1080;&#1089;..." TargetMode="External"/><Relationship Id="rId19" Type="http://schemas.openxmlformats.org/officeDocument/2006/relationships/hyperlink" Target="../../../../../../../../../../../tmp/mozilla_avdeevdv0/&#1079;&#1072;&#1082;&#1086;&#1085;..." TargetMode="External"/><Relationship Id="rId20" Type="http://schemas.openxmlformats.org/officeDocument/2006/relationships/hyperlink" Target="../../../../../../../../../../../tmp/mozilla_avdeevdv0/%3C1%3E%3B" TargetMode="External"/><Relationship Id="rId21" Type="http://schemas.openxmlformats.org/officeDocument/2006/relationships/hyperlink" Target="../../../../../../../../../../../tmp/mozilla_avdeevdv0/&#1080;&#1089;..." TargetMode="External"/><Relationship Id="rId22" Type="http://schemas.openxmlformats.org/officeDocument/2006/relationships/hyperlink" Target="../../../../../../../../../../../tmp/mozilla_avdeevdv0/%3C1%3E%3B" TargetMode="External"/><Relationship Id="rId23" Type="http://schemas.openxmlformats.org/officeDocument/2006/relationships/hyperlink" Target="../../../../../../../../../../../tmp/mozilla_avdeevdv0/&#1080;&#1089;..." TargetMode="External"/><Relationship Id="rId24" Type="http://schemas.openxmlformats.org/officeDocument/2006/relationships/hyperlink" Target="../../../../../../../../../../../tmp/mozilla_avdeevdv0/&#1088;&#1077;&#1096;&#1077;&#1085;&#1080;&#1081;:" TargetMode="External"/><Relationship Id="rId25" Type="http://schemas.openxmlformats.org/officeDocument/2006/relationships/hyperlink" Target="../../../../../../../../../../../tmp/mozilla_avdeevdv0/&#1088;&#1077;&#1096;&#1077;&#1085;&#1080;&#1081;:" TargetMode="External"/><Relationship Id="rId26" Type="http://schemas.openxmlformats.org/officeDocument/2006/relationships/fontTable" Target="fontTable.xml"/><Relationship Id="rId27" Type="http://schemas.openxmlformats.org/officeDocument/2006/relationships/settings" Target="settings.xml"/><Relationship Id="rId2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Company>КонсультантПлюс Версия 4021.00.20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2021-10-05T17:13:00Z</dcterms:created>
  <dc:creator/>
  <dc:description/>
  <dc:language>en-US</dc:language>
  <cp:lastModifiedBy/>
  <cp:revision>0</cp:revision>
  <dc:subject/>
  <dc:title>Приказ Росгвардии от 28.02.2018 N 67(ред. от 11.05.2021)"Об утверждении Положения о комиссиях организаций, создаваемых для выполнения задач, поставленных перед Федеральной службой войск национальной гвардии Российской Федерации, по соблюдению требований к служебному поведению работников и урегулированию конфликта интересов"(Зарегистрировано в Минюсте России 22.03.2018 N 50465)</dc:title>
</cp:coreProperties>
</file>

<file path=docProps/custom.xml><?xml version="1.0" encoding="utf-8"?>
<Properties xmlns="http://schemas.openxmlformats.org/officeDocument/2006/custom-properties" xmlns:vt="http://schemas.openxmlformats.org/officeDocument/2006/docPropsVTypes"/>
</file>